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gjdgxs" w:id="0"/>
      <w:bookmarkEnd w:id="0"/>
      <w:r w:rsidDel="00000000" w:rsidR="00000000" w:rsidRPr="00000000">
        <w:rPr>
          <w:rtl w:val="0"/>
        </w:rPr>
        <w:t xml:space="preserve">WorldCat Availibilty Query service Overview </w:t>
      </w:r>
    </w:p>
    <w:p w:rsidR="00000000" w:rsidDel="00000000" w:rsidP="00000000" w:rsidRDefault="00000000" w:rsidRPr="00000000" w14:paraId="00000002">
      <w:pPr>
        <w:rPr/>
      </w:pPr>
      <w:r w:rsidDel="00000000" w:rsidR="00000000" w:rsidRPr="00000000">
        <w:rPr>
          <w:rtl w:val="0"/>
        </w:rPr>
        <w:t xml:space="preserve">The WorldCat Availability Query Service (AQ) works with Request to provide holdings and availability information identify possible UC holdings. The information is intended for ILL staff and interested public services staff.  </w:t>
      </w:r>
    </w:p>
    <w:p w:rsidR="00000000" w:rsidDel="00000000" w:rsidP="00000000" w:rsidRDefault="00000000" w:rsidRPr="00000000" w14:paraId="00000003">
      <w:pPr>
        <w:rPr/>
      </w:pPr>
      <w:r w:rsidDel="00000000" w:rsidR="00000000" w:rsidRPr="00000000">
        <w:rPr>
          <w:rtl w:val="0"/>
        </w:rPr>
        <w:t xml:space="preserve">The AQ service provides holdings and availability information for any OpenURLs that are passed to Request, most typically: Melvyl, UC-elinks, and Primo. </w:t>
      </w:r>
    </w:p>
    <w:p w:rsidR="00000000" w:rsidDel="00000000" w:rsidP="00000000" w:rsidRDefault="00000000" w:rsidRPr="00000000" w14:paraId="00000004">
      <w:pPr>
        <w:rPr/>
      </w:pPr>
      <w:r w:rsidDel="00000000" w:rsidR="00000000" w:rsidRPr="00000000">
        <w:rPr>
          <w:rtl w:val="0"/>
        </w:rPr>
        <w:t xml:space="preserve">Instructions on how to view the information passed to Request in an OpenURL are included to aid understanding why some bibliographic information may not be passed into VDX.</w:t>
      </w:r>
    </w:p>
    <w:p w:rsidR="00000000" w:rsidDel="00000000" w:rsidP="00000000" w:rsidRDefault="00000000" w:rsidRPr="00000000" w14:paraId="00000005">
      <w:pPr>
        <w:pStyle w:val="Heading2"/>
        <w:rPr/>
      </w:pPr>
      <w:r w:rsidDel="00000000" w:rsidR="00000000" w:rsidRPr="00000000">
        <w:rPr>
          <w:rtl w:val="0"/>
        </w:rPr>
        <w:t xml:space="preserve">What Request does when it gets an OURL</w:t>
      </w:r>
    </w:p>
    <w:p w:rsidR="00000000" w:rsidDel="00000000" w:rsidP="00000000" w:rsidRDefault="00000000" w:rsidRPr="00000000" w14:paraId="00000006">
      <w:pPr>
        <w:rPr/>
      </w:pPr>
      <w:r w:rsidDel="00000000" w:rsidR="00000000" w:rsidRPr="00000000">
        <w:rPr>
          <w:rtl w:val="0"/>
        </w:rPr>
        <w:t xml:space="preserve">The bibliographic information in the OpenURL is the only information Request has to pass to VDX.</w:t>
      </w:r>
    </w:p>
    <w:p w:rsidR="00000000" w:rsidDel="00000000" w:rsidP="00000000" w:rsidRDefault="00000000" w:rsidRPr="00000000" w14:paraId="00000007">
      <w:pPr>
        <w:pStyle w:val="Heading3"/>
        <w:rPr/>
      </w:pPr>
      <w:bookmarkStart w:colFirst="0" w:colLast="0" w:name="_30j0zll" w:id="1"/>
      <w:bookmarkEnd w:id="1"/>
      <w:r w:rsidDel="00000000" w:rsidR="00000000" w:rsidRPr="00000000">
        <w:rPr>
          <w:rtl w:val="0"/>
        </w:rPr>
        <w:t xml:space="preserve">Request User Interface</w:t>
      </w:r>
    </w:p>
    <w:p w:rsidR="00000000" w:rsidDel="00000000" w:rsidP="00000000" w:rsidRDefault="00000000" w:rsidRPr="00000000" w14:paraId="00000008">
      <w:pPr>
        <w:rPr/>
      </w:pPr>
      <w:r w:rsidDel="00000000" w:rsidR="00000000" w:rsidRPr="00000000">
        <w:rPr>
          <w:rtl w:val="0"/>
        </w:rPr>
        <w:t xml:space="preserve">Request parses the OpenURL into the component bibliographic fields for user review; collects enduser account information and passes this </w:t>
      </w:r>
      <w:r w:rsidDel="00000000" w:rsidR="00000000" w:rsidRPr="00000000">
        <w:rPr>
          <w:rtl w:val="0"/>
        </w:rPr>
        <w:t xml:space="preserve">to Cameron Patron Service </w:t>
      </w:r>
      <w:r w:rsidDel="00000000" w:rsidR="00000000" w:rsidRPr="00000000">
        <w:rPr>
          <w:rtl w:val="0"/>
        </w:rPr>
        <w:t xml:space="preserve">which then validates the user against home campus patron database.</w:t>
      </w:r>
    </w:p>
    <w:p w:rsidR="00000000" w:rsidDel="00000000" w:rsidP="00000000" w:rsidRDefault="00000000" w:rsidRPr="00000000" w14:paraId="00000009">
      <w:pPr>
        <w:rPr/>
      </w:pPr>
      <w:r w:rsidDel="00000000" w:rsidR="00000000" w:rsidRPr="00000000">
        <w:rPr>
          <w:rtl w:val="0"/>
        </w:rPr>
        <w:t xml:space="preserve">If the patron has not already encountered UC-eLinks, Request will display any electronic links from UC-eLinks (SFX) and an option to forgo the electronic link and continue the ILL request. </w:t>
      </w:r>
    </w:p>
    <w:p w:rsidR="00000000" w:rsidDel="00000000" w:rsidP="00000000" w:rsidRDefault="00000000" w:rsidRPr="00000000" w14:paraId="0000000A">
      <w:pPr>
        <w:pStyle w:val="Heading5"/>
        <w:rPr/>
      </w:pPr>
      <w:r w:rsidDel="00000000" w:rsidR="00000000" w:rsidRPr="00000000">
        <w:rPr>
          <w:rtl w:val="0"/>
        </w:rPr>
        <w:t xml:space="preserve">Check for UC Holdings Using an OCLC number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Databases that might provide OCLC numbers in an OpenURL include Melvyl (WCD), some FirstSearch databases, and some Primo instances. The AQ services searches the OCLC WorldCat database limited to only items held by UC using the OCLC number index.</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no UC holdings are found using an OCLC number, Request will use the ISxN provided in the OURL.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there is no ISxN in the OURL, then the request is sent in with no UC holdings.</w:t>
      </w:r>
    </w:p>
    <w:p w:rsidR="00000000" w:rsidDel="00000000" w:rsidP="00000000" w:rsidRDefault="00000000" w:rsidRPr="00000000" w14:paraId="0000000F">
      <w:pPr>
        <w:pStyle w:val="Heading5"/>
        <w:rPr/>
      </w:pPr>
      <w:r w:rsidDel="00000000" w:rsidR="00000000" w:rsidRPr="00000000">
        <w:rPr>
          <w:rtl w:val="0"/>
        </w:rPr>
        <w:t xml:space="preserve">Check for UC holdings using IS</w:t>
      </w:r>
      <w:r w:rsidDel="00000000" w:rsidR="00000000" w:rsidRPr="00000000">
        <w:rPr>
          <w:smallCaps w:val="0"/>
          <w:rtl w:val="0"/>
        </w:rPr>
        <w:t xml:space="preserve">x</w:t>
      </w:r>
      <w:r w:rsidDel="00000000" w:rsidR="00000000" w:rsidRPr="00000000">
        <w:rPr>
          <w:rtl w:val="0"/>
        </w:rPr>
        <w:t xml:space="preserve">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ISxN matching is done in the OCLC WorldCat database limited to only items held by UC, using the ISSN index for ISSNs and the ISBN index for ISBNs.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no UC holdings are found, then the request will be sent to VDX with no UC holdings.</w:t>
      </w:r>
    </w:p>
    <w:p w:rsidR="00000000" w:rsidDel="00000000" w:rsidP="00000000" w:rsidRDefault="00000000" w:rsidRPr="00000000" w14:paraId="00000013">
      <w:pPr>
        <w:pStyle w:val="Heading5"/>
        <w:rPr/>
      </w:pPr>
      <w:r w:rsidDel="00000000" w:rsidR="00000000" w:rsidRPr="00000000">
        <w:rPr>
          <w:rtl w:val="0"/>
        </w:rPr>
        <w:t xml:space="preserve">check for UC Holdings Using available bib data</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36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the OURL does not contain either an OCLC number or ISxN, Request will send all bibliographic from the OpenURL to the OCLC AQ service. The AQ service will then use OCLC’s “Best Match” algorithm to find UC holdings. This search is most likely based on a title match using the contents of the jtitle (journal title) or btitle (book title) of the OpenURL.</w:t>
      </w:r>
    </w:p>
    <w:p w:rsidR="00000000" w:rsidDel="00000000" w:rsidP="00000000" w:rsidRDefault="00000000" w:rsidRPr="00000000" w14:paraId="00000015">
      <w:pPr>
        <w:rPr>
          <w:b w:val="1"/>
          <w:color w:val="4f81bd"/>
        </w:rPr>
      </w:pPr>
      <w:r w:rsidDel="00000000" w:rsidR="00000000" w:rsidRPr="00000000">
        <w:rPr>
          <w:b w:val="1"/>
          <w:color w:val="4f81bd"/>
          <w:rtl w:val="0"/>
        </w:rPr>
        <w:t xml:space="preserve">OCLC will match on truncated titles or titles that differ by a single word. This may cause incorrect matches. </w:t>
      </w:r>
    </w:p>
    <w:p w:rsidR="00000000" w:rsidDel="00000000" w:rsidP="00000000" w:rsidRDefault="00000000" w:rsidRPr="00000000" w14:paraId="00000016">
      <w:pPr>
        <w:pStyle w:val="Heading5"/>
        <w:pBdr>
          <w:bottom w:color="4f81bd" w:space="0" w:sz="6" w:val="single"/>
        </w:pBdr>
        <w:rPr/>
      </w:pPr>
      <w:r w:rsidDel="00000000" w:rsidR="00000000" w:rsidRPr="00000000">
        <w:rPr>
          <w:rtl w:val="0"/>
        </w:rPr>
        <w:t xml:space="preserve">monographic series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Each OCLC WorldCat record returned by AQ service is tested if it is a monographic series. For any serials or monographs identified as a whole or part monographic series, AQ will search for UC holdings for its counterpart.</w:t>
      </w:r>
    </w:p>
    <w:p w:rsidR="00000000" w:rsidDel="00000000" w:rsidP="00000000" w:rsidRDefault="00000000" w:rsidRPr="00000000" w14:paraId="00000018">
      <w:pPr>
        <w:rPr>
          <w:smallCaps w:val="1"/>
          <w:color w:val="243f60"/>
        </w:rPr>
      </w:pPr>
      <w:r w:rsidDel="00000000" w:rsidR="00000000" w:rsidRPr="00000000">
        <w:rPr>
          <w:smallCaps w:val="1"/>
          <w:color w:val="243f60"/>
          <w:rtl w:val="0"/>
        </w:rPr>
        <w:t xml:space="preserve">starting from a Matched SERIAL record for an item with A Mono-series indicator</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Fields used for matching: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ISSN from 022$a plus volume number from the 440$v 830$v or 490$v volume or </w:t>
      </w:r>
    </w:p>
    <w:p w:rsidR="00000000" w:rsidDel="00000000" w:rsidP="00000000" w:rsidRDefault="00000000" w:rsidRPr="00000000" w14:paraId="0000001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80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Use the contents of the 022$a in the serial to match to the 440$x, 830$x or 490$x (in this order) of the monographic record</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hanging="720"/>
        <w:jc w:val="left"/>
        <w:rPr>
          <w:rFonts w:ascii="Century Gothic" w:cs="Century Gothic" w:eastAsia="Century Gothic" w:hAnsi="Century Gothic"/>
          <w:b w:val="0"/>
          <w:i w:val="0"/>
          <w:smallCaps w:val="0"/>
          <w:strike w:val="0"/>
          <w:color w:val="243f6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43f60"/>
          <w:sz w:val="20"/>
          <w:szCs w:val="20"/>
          <w:u w:val="none"/>
          <w:shd w:fill="auto" w:val="clear"/>
          <w:vertAlign w:val="baseline"/>
          <w:rtl w:val="0"/>
        </w:rPr>
        <w:t xml:space="preserve">If no ISSN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Title plus volume from the 440$v 830$v or 490$v volume</w:t>
      </w:r>
      <w:r w:rsidDel="00000000" w:rsidR="00000000" w:rsidRPr="00000000">
        <w:rPr>
          <w:rtl w:val="0"/>
        </w:rPr>
      </w:r>
    </w:p>
    <w:p w:rsidR="00000000" w:rsidDel="00000000" w:rsidP="00000000" w:rsidRDefault="00000000" w:rsidRPr="00000000" w14:paraId="0000001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800" w:right="0" w:hanging="360"/>
        <w:jc w:val="left"/>
        <w:rPr/>
      </w:pPr>
      <w:r w:rsidDel="00000000" w:rsidR="00000000" w:rsidRPr="00000000">
        <w:rPr>
          <w:rFonts w:ascii="Century Gothic" w:cs="Century Gothic" w:eastAsia="Century Gothic" w:hAnsi="Century Gothic"/>
          <w:b w:val="0"/>
          <w:i w:val="0"/>
          <w:smallCaps w:val="1"/>
          <w:strike w:val="0"/>
          <w:color w:val="243f60"/>
          <w:sz w:val="20"/>
          <w:szCs w:val="20"/>
          <w:u w:val="none"/>
          <w:shd w:fill="auto" w:val="clear"/>
          <w:vertAlign w:val="baseline"/>
          <w:rtl w:val="0"/>
        </w:rPr>
        <w:t xml:space="preserve">AQ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uses the title </w:t>
      </w:r>
      <w:r w:rsidDel="00000000" w:rsidR="00000000" w:rsidRPr="00000000">
        <w:rPr>
          <w:rFonts w:ascii="Century Gothic" w:cs="Century Gothic" w:eastAsia="Century Gothic" w:hAnsi="Century Gothic"/>
          <w:b w:val="0"/>
          <w:i w:val="0"/>
          <w:smallCaps w:val="1"/>
          <w:strike w:val="0"/>
          <w:color w:val="243f60"/>
          <w:sz w:val="20"/>
          <w:szCs w:val="20"/>
          <w:u w:val="none"/>
          <w:shd w:fill="auto" w:val="clear"/>
          <w:vertAlign w:val="baseline"/>
          <w:rtl w:val="0"/>
        </w:rPr>
        <w:t xml:space="preserve">2</w:t>
      </w:r>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45</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 or 245$a$b in serial item to match to the title 440$a, 830$a, or 490$a in the series title. If no 245 or 246  the 210 $a (abbreviated title) if present is used for matching</w:t>
      </w:r>
    </w:p>
    <w:p w:rsidR="00000000" w:rsidDel="00000000" w:rsidP="00000000" w:rsidRDefault="00000000" w:rsidRPr="00000000" w14:paraId="0000001E">
      <w:pPr>
        <w:spacing w:after="0" w:lineRule="auto"/>
        <w:rPr>
          <w:smallCaps w:val="1"/>
          <w:color w:val="243f60"/>
        </w:rPr>
      </w:pPr>
      <w:r w:rsidDel="00000000" w:rsidR="00000000" w:rsidRPr="00000000">
        <w:rPr>
          <w:smallCaps w:val="1"/>
          <w:color w:val="243f60"/>
          <w:rtl w:val="0"/>
        </w:rPr>
        <w:t xml:space="preserve">starting from a Monograph record with a Mono-series indicator</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08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ISSN for the series in the 440$x, 830$x or 490$x (in this order) is used for matching to the serial record’s  ISSN in the 022$a</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08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If no ISSN the series title in the 440$a, 830$a or 490$a is used to match to the serial record’s title in the 245$a ( whole item title) or the 246 $a (whole item variant title)</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08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440$v 830$v or 490$v is volume number this is not used for matching</w:t>
      </w:r>
      <w:r w:rsidDel="00000000" w:rsidR="00000000" w:rsidRPr="00000000">
        <w:rPr>
          <w:rtl w:val="0"/>
        </w:rPr>
      </w:r>
    </w:p>
    <w:p w:rsidR="00000000" w:rsidDel="00000000" w:rsidP="00000000" w:rsidRDefault="00000000" w:rsidRPr="00000000" w14:paraId="00000022">
      <w:pPr>
        <w:rPr>
          <w:b w:val="1"/>
          <w:i w:val="1"/>
          <w:smallCaps w:val="1"/>
          <w:color w:val="4f81bd"/>
        </w:rPr>
      </w:pPr>
      <w:r w:rsidDel="00000000" w:rsidR="00000000" w:rsidRPr="00000000">
        <w:rPr>
          <w:b w:val="1"/>
          <w:i w:val="1"/>
          <w:smallCaps w:val="1"/>
          <w:color w:val="4f81bd"/>
          <w:rtl w:val="0"/>
        </w:rPr>
        <w:t xml:space="preserve">Note: OCLC will match on truncated titles or titles that differ by a single word. This may cause incorrect matches. </w:t>
      </w:r>
    </w:p>
    <w:p w:rsidR="00000000" w:rsidDel="00000000" w:rsidP="00000000" w:rsidRDefault="00000000" w:rsidRPr="00000000" w14:paraId="00000023">
      <w:pPr>
        <w:pStyle w:val="Heading3"/>
        <w:rPr/>
      </w:pPr>
      <w:r w:rsidDel="00000000" w:rsidR="00000000" w:rsidRPr="00000000">
        <w:rPr>
          <w:rtl w:val="0"/>
        </w:rPr>
        <w:t xml:space="preserve">Filtering and sorting UC holdings </w:t>
      </w:r>
    </w:p>
    <w:p w:rsidR="00000000" w:rsidDel="00000000" w:rsidP="00000000" w:rsidRDefault="00000000" w:rsidRPr="00000000" w14:paraId="00000024">
      <w:pPr>
        <w:rPr/>
      </w:pPr>
      <w:r w:rsidDel="00000000" w:rsidR="00000000" w:rsidRPr="00000000">
        <w:rPr>
          <w:rtl w:val="0"/>
        </w:rPr>
        <w:t xml:space="preserve">Before sending to VDX, UC holdings are filtered and sorted.</w:t>
      </w:r>
    </w:p>
    <w:p w:rsidR="00000000" w:rsidDel="00000000" w:rsidP="00000000" w:rsidRDefault="00000000" w:rsidRPr="00000000" w14:paraId="00000025">
      <w:pPr>
        <w:rPr/>
      </w:pPr>
      <w:r w:rsidDel="00000000" w:rsidR="00000000" w:rsidRPr="00000000">
        <w:rPr>
          <w:rtl w:val="0"/>
        </w:rPr>
        <w:t xml:space="preserve">UC holdings are filtered to exclude:</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electronic holdings</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any locations not eligible for lending through ILL</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any items identified as being ‘not available’ (eg. checked out)</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any serial holdings that do not match the year of the item requested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remaining holdings are ordered based on their geographic group (northern or southern) :</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closest RLF </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w:t>
      </w:r>
      <w:r w:rsidDel="00000000" w:rsidR="00000000" w:rsidRPr="00000000">
        <w:rPr>
          <w:rtl w:val="0"/>
        </w:rPr>
        <w:t xml:space="preserve">farther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RLF</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load balance of closest geographic group</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load balance of </w:t>
      </w:r>
      <w:r w:rsidDel="00000000" w:rsidR="00000000" w:rsidRPr="00000000">
        <w:rPr>
          <w:rtl w:val="0"/>
        </w:rPr>
        <w:t xml:space="preserve">farther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geographic group</w:t>
      </w:r>
    </w:p>
    <w:p w:rsidR="00000000" w:rsidDel="00000000" w:rsidP="00000000" w:rsidRDefault="00000000" w:rsidRPr="00000000" w14:paraId="00000030">
      <w:pPr>
        <w:rPr/>
      </w:pPr>
      <w:r w:rsidDel="00000000" w:rsidR="00000000" w:rsidRPr="00000000">
        <w:rPr>
          <w:rtl w:val="0"/>
        </w:rPr>
        <w:t xml:space="preserve">Along with the bibliographic information from the OURL, the following information is also sent to VDX:</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patron’s information from the local campus database</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library name where the holding was found</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ectPr>
          <w:headerReference r:id="rId6" w:type="first"/>
          <w:pgSz w:h="15840" w:w="12240"/>
          <w:pgMar w:bottom="720" w:top="720" w:left="720" w:right="720" w:header="720" w:footer="720"/>
          <w:pgNumType w:start="1"/>
          <w:cols w:equalWidth="0"/>
          <w:titlePg w:val="1"/>
        </w:sect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call number of the holding found.</w:t>
      </w:r>
    </w:p>
    <w:bookmarkStart w:colFirst="0" w:colLast="0" w:name="1fob9te" w:id="2"/>
    <w:bookmarkEnd w:id="2"/>
    <w:p w:rsidR="00000000" w:rsidDel="00000000" w:rsidP="00000000" w:rsidRDefault="00000000" w:rsidRPr="00000000" w14:paraId="00000034">
      <w:pPr>
        <w:pStyle w:val="Heading2"/>
        <w:rPr/>
      </w:pPr>
      <w:bookmarkStart w:colFirst="0" w:colLast="0" w:name="_3znysh7" w:id="3"/>
      <w:bookmarkEnd w:id="3"/>
      <w:r w:rsidDel="00000000" w:rsidR="00000000" w:rsidRPr="00000000">
        <w:rPr>
          <w:rtl w:val="0"/>
        </w:rPr>
        <w:t xml:space="preserve">Appendix I Interpreting O</w:t>
      </w:r>
      <w:r w:rsidDel="00000000" w:rsidR="00000000" w:rsidRPr="00000000">
        <w:rPr>
          <w:smallCaps w:val="0"/>
          <w:rtl w:val="0"/>
        </w:rPr>
        <w:t xml:space="preserve">pen</w:t>
      </w:r>
      <w:r w:rsidDel="00000000" w:rsidR="00000000" w:rsidRPr="00000000">
        <w:rPr>
          <w:rtl w:val="0"/>
        </w:rPr>
        <w:t xml:space="preserve">URL</w:t>
      </w:r>
      <w:r w:rsidDel="00000000" w:rsidR="00000000" w:rsidRPr="00000000">
        <w:rPr>
          <w:smallCaps w:val="0"/>
          <w:rtl w:val="0"/>
        </w:rPr>
        <w:t xml:space="preserve">s</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300" w:line="276" w:lineRule="auto"/>
        <w:ind w:left="0" w:right="0" w:firstLine="0"/>
        <w:jc w:val="left"/>
        <w:rPr>
          <w:rFonts w:ascii="Century Gothic" w:cs="Century Gothic" w:eastAsia="Century Gothic" w:hAnsi="Century Gothic"/>
          <w:b w:val="0"/>
          <w:i w:val="0"/>
          <w:smallCaps w:val="1"/>
          <w:strike w:val="0"/>
          <w:color w:val="365f91"/>
          <w:sz w:val="22"/>
          <w:szCs w:val="22"/>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365f91"/>
          <w:sz w:val="22"/>
          <w:szCs w:val="22"/>
          <w:u w:val="none"/>
          <w:shd w:fill="auto" w:val="clear"/>
          <w:vertAlign w:val="baseline"/>
          <w:rtl w:val="0"/>
        </w:rPr>
        <w:t xml:space="preserve">The bibliographic data in the OpenURL is the only data included in the VDX record.</w:t>
      </w:r>
    </w:p>
    <w:p w:rsidR="00000000" w:rsidDel="00000000" w:rsidP="00000000" w:rsidRDefault="00000000" w:rsidRPr="00000000" w14:paraId="00000036">
      <w:pPr>
        <w:rPr>
          <w:smallCaps w:val="1"/>
          <w:color w:val="243f60"/>
        </w:rPr>
      </w:pPr>
      <w:r w:rsidDel="00000000" w:rsidR="00000000" w:rsidRPr="00000000">
        <w:rPr>
          <w:smallCaps w:val="1"/>
          <w:color w:val="243f60"/>
          <w:rtl w:val="0"/>
        </w:rPr>
        <w:t xml:space="preserve">The quality of the OpenURL determines the quality of the VDX bibliographic record.</w:t>
      </w:r>
    </w:p>
    <w:p w:rsidR="00000000" w:rsidDel="00000000" w:rsidP="00000000" w:rsidRDefault="00000000" w:rsidRPr="00000000" w14:paraId="00000037">
      <w:pPr>
        <w:rPr/>
      </w:pPr>
      <w:r w:rsidDel="00000000" w:rsidR="00000000" w:rsidRPr="00000000">
        <w:rPr>
          <w:rtl w:val="0"/>
        </w:rPr>
        <w:t xml:space="preserve">This section shows how to identify the key information in an OpenURL sent to Request from Melvyl or from another OURL source. </w:t>
      </w:r>
    </w:p>
    <w:p w:rsidR="00000000" w:rsidDel="00000000" w:rsidP="00000000" w:rsidRDefault="00000000" w:rsidRPr="00000000" w14:paraId="00000038">
      <w:pPr>
        <w:rPr/>
      </w:pPr>
      <w:r w:rsidDel="00000000" w:rsidR="00000000" w:rsidRPr="00000000">
        <w:rPr>
          <w:rtl w:val="0"/>
        </w:rPr>
        <w:t xml:space="preserve">Two examples for the same item follow one from an Melvyl record and one for the same item in an A&amp;I database. The item is part of a monographic series. </w:t>
      </w:r>
    </w:p>
    <w:p w:rsidR="00000000" w:rsidDel="00000000" w:rsidP="00000000" w:rsidRDefault="00000000" w:rsidRPr="00000000" w14:paraId="00000039">
      <w:pPr>
        <w:pStyle w:val="Heading3"/>
        <w:rPr/>
      </w:pPr>
      <w:bookmarkStart w:colFirst="0" w:colLast="0" w:name="_2et92p0" w:id="4"/>
      <w:bookmarkEnd w:id="4"/>
      <w:r w:rsidDel="00000000" w:rsidR="00000000" w:rsidRPr="00000000">
        <w:rPr>
          <w:rtl w:val="0"/>
        </w:rPr>
        <w:t xml:space="preserve">Melvyl Record for a volume in a monographic series</w:t>
      </w:r>
    </w:p>
    <w:p w:rsidR="00000000" w:rsidDel="00000000" w:rsidP="00000000" w:rsidRDefault="00000000" w:rsidRPr="00000000" w14:paraId="0000003A">
      <w:pPr>
        <w:jc w:val="center"/>
        <w:rPr>
          <w:smallCaps w:val="1"/>
          <w:sz w:val="18"/>
          <w:szCs w:val="18"/>
        </w:rPr>
      </w:pPr>
      <w:r w:rsidDel="00000000" w:rsidR="00000000" w:rsidRPr="00000000">
        <w:rPr>
          <w:smallCaps w:val="1"/>
          <w:sz w:val="18"/>
          <w:szCs w:val="18"/>
        </w:rPr>
        <w:drawing>
          <wp:inline distB="0" distT="0" distL="0" distR="0">
            <wp:extent cx="5581650" cy="5734050"/>
            <wp:effectExtent b="0" l="0" r="0" t="0"/>
            <wp:docPr id="6" name="image6.png"/>
            <a:graphic>
              <a:graphicData uri="http://schemas.openxmlformats.org/drawingml/2006/picture">
                <pic:pic>
                  <pic:nvPicPr>
                    <pic:cNvPr id="0" name="image6.png"/>
                    <pic:cNvPicPr preferRelativeResize="0"/>
                  </pic:nvPicPr>
                  <pic:blipFill>
                    <a:blip r:embed="rId7"/>
                    <a:srcRect b="4906" l="3891" r="3329" t="10909"/>
                    <a:stretch>
                      <a:fillRect/>
                    </a:stretch>
                  </pic:blipFill>
                  <pic:spPr>
                    <a:xfrm>
                      <a:off x="0" y="0"/>
                      <a:ext cx="5581650" cy="57340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1498600</wp:posOffset>
                </wp:positionV>
                <wp:extent cx="2771775" cy="133985"/>
                <wp:effectExtent b="0" l="0" r="0" t="0"/>
                <wp:wrapNone/>
                <wp:docPr id="2" name=""/>
                <a:graphic>
                  <a:graphicData uri="http://schemas.microsoft.com/office/word/2010/wordprocessingShape">
                    <wps:wsp>
                      <wps:cNvSpPr/>
                      <wps:cNvPr id="3" name="Shape 3"/>
                      <wps:spPr>
                        <a:xfrm>
                          <a:off x="3964875" y="3717770"/>
                          <a:ext cx="2762250" cy="124460"/>
                        </a:xfrm>
                        <a:prstGeom prst="rect">
                          <a:avLst/>
                        </a:prstGeom>
                        <a:solidFill>
                          <a:srgbClr val="FFFF00">
                            <a:alpha val="4705"/>
                          </a:srgbClr>
                        </a:solidFill>
                        <a:ln cap="flat" cmpd="sng" w="952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1498600</wp:posOffset>
                </wp:positionV>
                <wp:extent cx="2771775" cy="133985"/>
                <wp:effectExtent b="0" l="0" r="0" t="0"/>
                <wp:wrapNone/>
                <wp:docPr id="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771775" cy="133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1498600</wp:posOffset>
                </wp:positionV>
                <wp:extent cx="1421765" cy="133985"/>
                <wp:effectExtent b="0" l="0" r="0" t="0"/>
                <wp:wrapNone/>
                <wp:docPr id="3" name=""/>
                <a:graphic>
                  <a:graphicData uri="http://schemas.microsoft.com/office/word/2010/wordprocessingShape">
                    <wps:wsp>
                      <wps:cNvSpPr/>
                      <wps:cNvPr id="4" name="Shape 4"/>
                      <wps:spPr>
                        <a:xfrm>
                          <a:off x="4639880" y="3717770"/>
                          <a:ext cx="1412240" cy="12446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c00000"/>
                                <w:sz w:val="18"/>
                                <w:vertAlign w:val="baseline"/>
                              </w:rPr>
                              <w:t xml:space="preserve"> Monographic Series Title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1498600</wp:posOffset>
                </wp:positionV>
                <wp:extent cx="1421765" cy="133985"/>
                <wp:effectExtent b="0" l="0" r="0" t="0"/>
                <wp:wrapNone/>
                <wp:docPr id="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421765" cy="133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5486400</wp:posOffset>
                </wp:positionV>
                <wp:extent cx="2759075" cy="222250"/>
                <wp:effectExtent b="0" l="0" r="0" t="0"/>
                <wp:wrapNone/>
                <wp:docPr id="1" name=""/>
                <a:graphic>
                  <a:graphicData uri="http://schemas.microsoft.com/office/word/2010/wordprocessingShape">
                    <wps:wsp>
                      <wps:cNvSpPr/>
                      <wps:cNvPr id="2" name="Shape 2"/>
                      <wps:spPr>
                        <a:xfrm>
                          <a:off x="3971225" y="3673638"/>
                          <a:ext cx="2749550" cy="212725"/>
                        </a:xfrm>
                        <a:prstGeom prst="rect">
                          <a:avLst/>
                        </a:prstGeom>
                        <a:solidFill>
                          <a:srgbClr val="FFFF00">
                            <a:alpha val="4705"/>
                          </a:srgbClr>
                        </a:solidFill>
                        <a:ln cap="flat" cmpd="sng" w="952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5486400</wp:posOffset>
                </wp:positionV>
                <wp:extent cx="2759075" cy="222250"/>
                <wp:effectExtent b="0" l="0" r="0" t="0"/>
                <wp:wrapNone/>
                <wp:docPr id="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759075" cy="222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5486400</wp:posOffset>
                </wp:positionV>
                <wp:extent cx="1362075" cy="222250"/>
                <wp:effectExtent b="0" l="0" r="0" t="0"/>
                <wp:wrapNone/>
                <wp:docPr id="4" name=""/>
                <a:graphic>
                  <a:graphicData uri="http://schemas.microsoft.com/office/word/2010/wordprocessingShape">
                    <wps:wsp>
                      <wps:cNvSpPr/>
                      <wps:cNvPr id="5" name="Shape 5"/>
                      <wps:spPr>
                        <a:xfrm>
                          <a:off x="4669725" y="3673638"/>
                          <a:ext cx="1352550" cy="212725"/>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c00000"/>
                                <w:sz w:val="18"/>
                                <w:vertAlign w:val="baseline"/>
                              </w:rPr>
                              <w:t xml:space="preserve"> Monographic Series Title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5486400</wp:posOffset>
                </wp:positionV>
                <wp:extent cx="1362075" cy="222250"/>
                <wp:effectExtent b="0" l="0" r="0" t="0"/>
                <wp:wrapNone/>
                <wp:docPr id="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362075" cy="222250"/>
                        </a:xfrm>
                        <a:prstGeom prst="rect"/>
                        <a:ln/>
                      </pic:spPr>
                    </pic:pic>
                  </a:graphicData>
                </a:graphic>
              </wp:anchor>
            </w:drawing>
          </mc:Fallback>
        </mc:AlternateContent>
      </w:r>
    </w:p>
    <w:p w:rsidR="00000000" w:rsidDel="00000000" w:rsidP="00000000" w:rsidRDefault="00000000" w:rsidRPr="00000000" w14:paraId="0000003B">
      <w:pPr>
        <w:spacing w:after="0" w:before="0" w:line="240" w:lineRule="auto"/>
        <w:rPr>
          <w:smallCaps w:val="1"/>
          <w:color w:val="365f9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300" w:line="276" w:lineRule="auto"/>
        <w:ind w:left="0" w:right="0" w:firstLine="0"/>
        <w:jc w:val="left"/>
        <w:rPr>
          <w:rFonts w:ascii="Century Gothic" w:cs="Century Gothic" w:eastAsia="Century Gothic" w:hAnsi="Century Gothic"/>
          <w:b w:val="0"/>
          <w:i w:val="1"/>
          <w:smallCaps w:val="1"/>
          <w:strike w:val="0"/>
          <w:color w:val="4f81bd"/>
          <w:sz w:val="22"/>
          <w:szCs w:val="22"/>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365f91"/>
          <w:sz w:val="22"/>
          <w:szCs w:val="22"/>
          <w:u w:val="none"/>
          <w:shd w:fill="auto" w:val="clear"/>
          <w:vertAlign w:val="baseline"/>
          <w:rtl w:val="0"/>
        </w:rPr>
        <w:t xml:space="preserve">Sample OpenURL Sent to Request by WC</w:t>
      </w:r>
      <w:r w:rsidDel="00000000" w:rsidR="00000000" w:rsidRPr="00000000">
        <w:rPr>
          <w:smallCaps w:val="1"/>
          <w:color w:val="365f91"/>
          <w:sz w:val="22"/>
          <w:szCs w:val="22"/>
          <w:rtl w:val="0"/>
        </w:rPr>
        <w:t xml:space="preserve">D</w:t>
      </w:r>
      <w:r w:rsidDel="00000000" w:rsidR="00000000" w:rsidRPr="00000000">
        <w:rPr>
          <w:rFonts w:ascii="Century Gothic" w:cs="Century Gothic" w:eastAsia="Century Gothic" w:hAnsi="Century Gothic"/>
          <w:b w:val="0"/>
          <w:i w:val="0"/>
          <w:smallCaps w:val="1"/>
          <w:strike w:val="0"/>
          <w:color w:val="365f91"/>
          <w:sz w:val="22"/>
          <w:szCs w:val="22"/>
          <w:u w:val="none"/>
          <w:shd w:fill="auto" w:val="clear"/>
          <w:vertAlign w:val="baseline"/>
          <w:rtl w:val="0"/>
        </w:rPr>
        <w:t xml:space="preserve"> for Item in monoseries</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The OpenURL contains all of the information sent to the Request service. Request passes all of this information to VDX. You can copy the OpenURL from the navigation box of the Request form page and paste it into a Word document to see the bibliographic information being passed from the catalog.</w:t>
      </w:r>
    </w:p>
    <w:p w:rsidR="00000000" w:rsidDel="00000000" w:rsidP="00000000" w:rsidRDefault="00000000" w:rsidRPr="00000000" w14:paraId="0000003E">
      <w:pPr>
        <w:spacing w:after="120" w:before="120" w:lineRule="auto"/>
        <w:rPr/>
      </w:pPr>
      <w:r w:rsidDel="00000000" w:rsidR="00000000" w:rsidRPr="00000000">
        <w:rPr/>
        <w:drawing>
          <wp:inline distB="0" distT="0" distL="0" distR="0">
            <wp:extent cx="6467475" cy="866775"/>
            <wp:effectExtent b="0" l="0" r="0" t="0"/>
            <wp:docPr id="8" name="image5.png"/>
            <a:graphic>
              <a:graphicData uri="http://schemas.openxmlformats.org/drawingml/2006/picture">
                <pic:pic>
                  <pic:nvPicPr>
                    <pic:cNvPr id="0" name="image5.png"/>
                    <pic:cNvPicPr preferRelativeResize="0"/>
                  </pic:nvPicPr>
                  <pic:blipFill>
                    <a:blip r:embed="rId12"/>
                    <a:srcRect b="74324" l="1253" r="21689" t="4839"/>
                    <a:stretch>
                      <a:fillRect/>
                    </a:stretch>
                  </pic:blipFill>
                  <pic:spPr>
                    <a:xfrm>
                      <a:off x="0" y="0"/>
                      <a:ext cx="64674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wp:posOffset>
                </wp:positionV>
                <wp:extent cx="5257800" cy="352425"/>
                <wp:effectExtent b="0" l="0" r="0" t="0"/>
                <wp:wrapNone/>
                <wp:docPr id="5" name=""/>
                <a:graphic>
                  <a:graphicData uri="http://schemas.microsoft.com/office/word/2010/wordprocessingShape">
                    <wps:wsp>
                      <wps:cNvSpPr/>
                      <wps:cNvPr id="6" name="Shape 6"/>
                      <wps:spPr>
                        <a:xfrm>
                          <a:off x="2731388" y="3618075"/>
                          <a:ext cx="5229225" cy="323850"/>
                        </a:xfrm>
                        <a:prstGeom prst="rect">
                          <a:avLst/>
                        </a:prstGeom>
                        <a:solidFill>
                          <a:srgbClr val="FFFF00">
                            <a:alpha val="9803"/>
                          </a:srgbClr>
                        </a:solidFill>
                        <a:ln cap="flat" cmpd="sng" w="28575">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12700</wp:posOffset>
                </wp:positionV>
                <wp:extent cx="5257800" cy="352425"/>
                <wp:effectExtent b="0" l="0" r="0" t="0"/>
                <wp:wrapNone/>
                <wp:docPr id="5"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257800" cy="352425"/>
                        </a:xfrm>
                        <a:prstGeom prst="rect"/>
                        <a:ln/>
                      </pic:spPr>
                    </pic:pic>
                  </a:graphicData>
                </a:graphic>
              </wp:anchor>
            </w:drawing>
          </mc:Fallback>
        </mc:AlternateContent>
      </w:r>
    </w:p>
    <w:p w:rsidR="00000000" w:rsidDel="00000000" w:rsidP="00000000" w:rsidRDefault="00000000" w:rsidRPr="00000000" w14:paraId="0000003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ttps://request.cdlib.org/r2/openurl?url_ver=Z39.88-2004&amp;rfr_id=info%3Asid%2Fmelvyl.worldcat.org%3Aworldcat&amp;rft_val_fmt=info%3Aofi%2Ffmt%3Akev%3Amtx%3Abook&amp;rft.genre=book&amp;rft.genre=book&amp;rft_id=info%3Aoclcnum%2F52225529&amp;rft.aulast=Kiley&amp;rft.aufirst=Michael&amp;rft.btitle=How+should+unemployment+benefits+respond+to+the+business+cycle%3F&amp;rft.date=2003&amp;rft.aucorp=Board+of+Governors+of+the+Federal+Reserve+System+%28U.S.%29&amp;rft.place=Washington++D.C.&amp;rft.pub=Divisions+of+Research+%26+Statistics+and+Monetary+Affairs++Federal+Reserve+Board&amp;rft.identifier=HD7095.U5+K56+2003&amp;rft_dat=%7B%22stdrt1%22%3A%22Book%22%2C%22stdrt2%22%3A%22PrintBook%22%7D&amp;req_id=info:rfa/oclc/institutions/5683&amp;req_dat=&amp;rfe_dat=52225529</w:t>
      </w:r>
    </w:p>
    <w:p w:rsidR="00000000" w:rsidDel="00000000" w:rsidP="00000000" w:rsidRDefault="00000000" w:rsidRPr="00000000" w14:paraId="00000040">
      <w:pPr>
        <w:rPr/>
      </w:pPr>
      <w:r w:rsidDel="00000000" w:rsidR="00000000" w:rsidRPr="00000000">
        <w:rPr>
          <w:rtl w:val="0"/>
        </w:rPr>
        <w:t xml:space="preserve">To make the OpenURL easier to read: Paste the OpenURL from the navigation box on the Request form page into MS Word. Replace the ampersand (&amp;) with ^p&amp; </w:t>
      </w:r>
    </w:p>
    <w:p w:rsidR="00000000" w:rsidDel="00000000" w:rsidP="00000000" w:rsidRDefault="00000000" w:rsidRPr="00000000" w14:paraId="00000041">
      <w:pPr>
        <w:rPr/>
      </w:pPr>
      <w:r w:rsidDel="00000000" w:rsidR="00000000" w:rsidRPr="00000000">
        <w:rPr/>
        <w:drawing>
          <wp:inline distB="0" distT="0" distL="0" distR="0">
            <wp:extent cx="3533775" cy="1447800"/>
            <wp:effectExtent b="0" l="0" r="0" t="0"/>
            <wp:docPr id="7" name="image13.png"/>
            <a:graphic>
              <a:graphicData uri="http://schemas.openxmlformats.org/drawingml/2006/picture">
                <pic:pic>
                  <pic:nvPicPr>
                    <pic:cNvPr id="0" name="image13.png"/>
                    <pic:cNvPicPr preferRelativeResize="0"/>
                  </pic:nvPicPr>
                  <pic:blipFill>
                    <a:blip r:embed="rId14"/>
                    <a:srcRect b="50972" l="2687" r="80972" t="27861"/>
                    <a:stretch>
                      <a:fillRect/>
                    </a:stretch>
                  </pic:blipFill>
                  <pic:spPr>
                    <a:xfrm>
                      <a:off x="0" y="0"/>
                      <a:ext cx="35337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https://request.cdlib.org/r2/openurl?url_ver=Z39.88-2004</w:t>
      </w:r>
    </w:p>
    <w:p w:rsidR="00000000" w:rsidDel="00000000" w:rsidP="00000000" w:rsidRDefault="00000000" w:rsidRPr="00000000" w14:paraId="00000043">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&amp;rfr_id=info%3A</w:t>
      </w:r>
      <w:r w:rsidDel="00000000" w:rsidR="00000000" w:rsidRPr="00000000">
        <w:rPr>
          <w:rFonts w:ascii="Calibri" w:cs="Calibri" w:eastAsia="Calibri" w:hAnsi="Calibri"/>
          <w:b w:val="1"/>
          <w:sz w:val="18"/>
          <w:szCs w:val="18"/>
          <w:rtl w:val="0"/>
        </w:rPr>
        <w:t xml:space="preserve">sid</w:t>
      </w:r>
      <w:r w:rsidDel="00000000" w:rsidR="00000000" w:rsidRPr="00000000">
        <w:rPr>
          <w:rFonts w:ascii="Calibri" w:cs="Calibri" w:eastAsia="Calibri" w:hAnsi="Calibri"/>
          <w:sz w:val="18"/>
          <w:szCs w:val="18"/>
          <w:rtl w:val="0"/>
        </w:rPr>
        <w:t xml:space="preserve">%2F</w:t>
      </w:r>
      <w:r w:rsidDel="00000000" w:rsidR="00000000" w:rsidRPr="00000000">
        <w:rPr>
          <w:rFonts w:ascii="Calibri" w:cs="Calibri" w:eastAsia="Calibri" w:hAnsi="Calibri"/>
          <w:b w:val="1"/>
          <w:sz w:val="18"/>
          <w:szCs w:val="18"/>
          <w:rtl w:val="0"/>
        </w:rPr>
        <w:t xml:space="preserve">melvyl.worldcat.org</w:t>
      </w:r>
      <w:r w:rsidDel="00000000" w:rsidR="00000000" w:rsidRPr="00000000">
        <w:rPr>
          <w:rFonts w:ascii="Calibri" w:cs="Calibri" w:eastAsia="Calibri" w:hAnsi="Calibri"/>
          <w:sz w:val="18"/>
          <w:szCs w:val="18"/>
          <w:rtl w:val="0"/>
        </w:rPr>
        <w:t xml:space="preserve">%3Aworldcat</w:t>
      </w:r>
    </w:p>
    <w:p w:rsidR="00000000" w:rsidDel="00000000" w:rsidP="00000000" w:rsidRDefault="00000000" w:rsidRPr="00000000" w14:paraId="00000044">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&amp;rft_val_</w:t>
      </w:r>
      <w:r w:rsidDel="00000000" w:rsidR="00000000" w:rsidRPr="00000000">
        <w:rPr>
          <w:rFonts w:ascii="Calibri" w:cs="Calibri" w:eastAsia="Calibri" w:hAnsi="Calibri"/>
          <w:b w:val="1"/>
          <w:sz w:val="18"/>
          <w:szCs w:val="18"/>
          <w:rtl w:val="0"/>
        </w:rPr>
        <w:t xml:space="preserve">fmt</w:t>
      </w:r>
      <w:r w:rsidDel="00000000" w:rsidR="00000000" w:rsidRPr="00000000">
        <w:rPr>
          <w:rFonts w:ascii="Calibri" w:cs="Calibri" w:eastAsia="Calibri" w:hAnsi="Calibri"/>
          <w:sz w:val="18"/>
          <w:szCs w:val="18"/>
          <w:rtl w:val="0"/>
        </w:rPr>
        <w:t xml:space="preserve">=info%3Aofi%2Ffmt%3Akev%3Amtx%3A</w:t>
      </w:r>
      <w:r w:rsidDel="00000000" w:rsidR="00000000" w:rsidRPr="00000000">
        <w:rPr>
          <w:rFonts w:ascii="Calibri" w:cs="Calibri" w:eastAsia="Calibri" w:hAnsi="Calibri"/>
          <w:b w:val="1"/>
          <w:sz w:val="18"/>
          <w:szCs w:val="18"/>
          <w:rtl w:val="0"/>
        </w:rPr>
        <w:t xml:space="preserve">book</w:t>
      </w:r>
      <w:r w:rsidDel="00000000" w:rsidR="00000000" w:rsidRPr="00000000">
        <w:rPr>
          <w:rtl w:val="0"/>
        </w:rPr>
      </w:r>
    </w:p>
    <w:p w:rsidR="00000000" w:rsidDel="00000000" w:rsidP="00000000" w:rsidRDefault="00000000" w:rsidRPr="00000000" w14:paraId="00000045">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&amp;req_dat=%3Csessionid%3E</w:t>
      </w:r>
    </w:p>
    <w:p w:rsidR="00000000" w:rsidDel="00000000" w:rsidP="00000000" w:rsidRDefault="00000000" w:rsidRPr="00000000" w14:paraId="00000046">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&amp;rfe_dat=%3Caccessionnumber%3E52225529%3C%2Faccessionnumber%3E</w:t>
      </w:r>
    </w:p>
    <w:p w:rsidR="00000000" w:rsidDel="00000000" w:rsidP="00000000" w:rsidRDefault="00000000" w:rsidRPr="00000000" w14:paraId="00000047">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&amp;rft_id=info%3A</w:t>
      </w:r>
      <w:r w:rsidDel="00000000" w:rsidR="00000000" w:rsidRPr="00000000">
        <w:rPr>
          <w:rFonts w:ascii="Calibri" w:cs="Calibri" w:eastAsia="Calibri" w:hAnsi="Calibri"/>
          <w:b w:val="1"/>
          <w:sz w:val="18"/>
          <w:szCs w:val="18"/>
          <w:rtl w:val="0"/>
        </w:rPr>
        <w:t xml:space="preserve">oclcnum</w:t>
      </w:r>
      <w:r w:rsidDel="00000000" w:rsidR="00000000" w:rsidRPr="00000000">
        <w:rPr>
          <w:rFonts w:ascii="Calibri" w:cs="Calibri" w:eastAsia="Calibri" w:hAnsi="Calibri"/>
          <w:sz w:val="18"/>
          <w:szCs w:val="18"/>
          <w:rtl w:val="0"/>
        </w:rPr>
        <w:t xml:space="preserve">%2F</w:t>
      </w:r>
      <w:r w:rsidDel="00000000" w:rsidR="00000000" w:rsidRPr="00000000">
        <w:rPr>
          <w:rFonts w:ascii="Calibri" w:cs="Calibri" w:eastAsia="Calibri" w:hAnsi="Calibri"/>
          <w:b w:val="1"/>
          <w:sz w:val="18"/>
          <w:szCs w:val="18"/>
          <w:rtl w:val="0"/>
        </w:rPr>
        <w:t xml:space="preserve">52225529</w:t>
      </w:r>
      <w:r w:rsidDel="00000000" w:rsidR="00000000" w:rsidRPr="00000000">
        <w:rPr>
          <w:rtl w:val="0"/>
        </w:rPr>
      </w:r>
    </w:p>
    <w:p w:rsidR="00000000" w:rsidDel="00000000" w:rsidP="00000000" w:rsidRDefault="00000000" w:rsidRPr="00000000" w14:paraId="00000048">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aulast=Kiley</w:t>
      </w:r>
      <w:r w:rsidDel="00000000" w:rsidR="00000000" w:rsidRPr="00000000">
        <w:rPr>
          <w:rtl w:val="0"/>
        </w:rPr>
      </w:r>
    </w:p>
    <w:p w:rsidR="00000000" w:rsidDel="00000000" w:rsidP="00000000" w:rsidRDefault="00000000" w:rsidRPr="00000000" w14:paraId="00000049">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aufirst=Michael</w:t>
      </w:r>
      <w:r w:rsidDel="00000000" w:rsidR="00000000" w:rsidRPr="00000000">
        <w:rPr>
          <w:rtl w:val="0"/>
        </w:rPr>
      </w:r>
    </w:p>
    <w:p w:rsidR="00000000" w:rsidDel="00000000" w:rsidP="00000000" w:rsidRDefault="00000000" w:rsidRPr="00000000" w14:paraId="0000004A">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auinitm=T</w:t>
      </w:r>
      <w:r w:rsidDel="00000000" w:rsidR="00000000" w:rsidRPr="00000000">
        <w:rPr>
          <w:rtl w:val="0"/>
        </w:rPr>
      </w:r>
    </w:p>
    <w:p w:rsidR="00000000" w:rsidDel="00000000" w:rsidP="00000000" w:rsidRDefault="00000000" w:rsidRPr="00000000" w14:paraId="0000004B">
      <w:pPr>
        <w:spacing w:after="40" w:before="40" w:lineRule="auto"/>
        <w:ind w:left="72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&amp;rft.btitle=How+should+unemployment+benefits+respond+to+the+business+cycle%3F</w:t>
      </w:r>
    </w:p>
    <w:p w:rsidR="00000000" w:rsidDel="00000000" w:rsidP="00000000" w:rsidRDefault="00000000" w:rsidRPr="00000000" w14:paraId="0000004C">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w:t>
      </w:r>
      <w:r w:rsidDel="00000000" w:rsidR="00000000" w:rsidRPr="00000000">
        <w:rPr>
          <w:rFonts w:ascii="Calibri" w:cs="Calibri" w:eastAsia="Calibri" w:hAnsi="Calibri"/>
          <w:b w:val="1"/>
          <w:sz w:val="18"/>
          <w:szCs w:val="18"/>
          <w:rtl w:val="0"/>
        </w:rPr>
        <w:t xml:space="preserve">rft.date=2003</w:t>
      </w:r>
      <w:r w:rsidDel="00000000" w:rsidR="00000000" w:rsidRPr="00000000">
        <w:rPr>
          <w:rtl w:val="0"/>
        </w:rPr>
      </w:r>
    </w:p>
    <w:p w:rsidR="00000000" w:rsidDel="00000000" w:rsidP="00000000" w:rsidRDefault="00000000" w:rsidRPr="00000000" w14:paraId="0000004D">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aucorp</w:t>
      </w:r>
      <w:r w:rsidDel="00000000" w:rsidR="00000000" w:rsidRPr="00000000">
        <w:rPr>
          <w:rFonts w:ascii="Calibri" w:cs="Calibri" w:eastAsia="Calibri" w:hAnsi="Calibri"/>
          <w:sz w:val="18"/>
          <w:szCs w:val="18"/>
          <w:rtl w:val="0"/>
        </w:rPr>
        <w:t xml:space="preserve">=Board+of+Governors+of+the+Federal+Reserve+System+%28U.S.%29</w:t>
      </w:r>
    </w:p>
    <w:p w:rsidR="00000000" w:rsidDel="00000000" w:rsidP="00000000" w:rsidRDefault="00000000" w:rsidRPr="00000000" w14:paraId="0000004E">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place</w:t>
      </w:r>
      <w:r w:rsidDel="00000000" w:rsidR="00000000" w:rsidRPr="00000000">
        <w:rPr>
          <w:rFonts w:ascii="Calibri" w:cs="Calibri" w:eastAsia="Calibri" w:hAnsi="Calibri"/>
          <w:sz w:val="18"/>
          <w:szCs w:val="18"/>
          <w:rtl w:val="0"/>
        </w:rPr>
        <w:t xml:space="preserve">=Washington++D.C.</w:t>
      </w:r>
    </w:p>
    <w:p w:rsidR="00000000" w:rsidDel="00000000" w:rsidP="00000000" w:rsidRDefault="00000000" w:rsidRPr="00000000" w14:paraId="0000004F">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pub</w:t>
      </w:r>
      <w:r w:rsidDel="00000000" w:rsidR="00000000" w:rsidRPr="00000000">
        <w:rPr>
          <w:rFonts w:ascii="Calibri" w:cs="Calibri" w:eastAsia="Calibri" w:hAnsi="Calibri"/>
          <w:sz w:val="18"/>
          <w:szCs w:val="18"/>
          <w:rtl w:val="0"/>
        </w:rPr>
        <w:t xml:space="preserve">=Divisions+of+Research+%26+Statistics+and+Monetary+Affairs++Federal+Reserve+Board</w:t>
      </w:r>
    </w:p>
    <w:p w:rsidR="00000000" w:rsidDel="00000000" w:rsidP="00000000" w:rsidRDefault="00000000" w:rsidRPr="00000000" w14:paraId="00000050">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w:t>
      </w:r>
      <w:r w:rsidDel="00000000" w:rsidR="00000000" w:rsidRPr="00000000">
        <w:rPr>
          <w:rFonts w:ascii="Calibri" w:cs="Calibri" w:eastAsia="Calibri" w:hAnsi="Calibri"/>
          <w:b w:val="1"/>
          <w:sz w:val="18"/>
          <w:szCs w:val="18"/>
          <w:rtl w:val="0"/>
        </w:rPr>
        <w:t xml:space="preserve">genre=book</w:t>
      </w:r>
      <w:r w:rsidDel="00000000" w:rsidR="00000000" w:rsidRPr="00000000">
        <w:rPr>
          <w:rtl w:val="0"/>
        </w:rPr>
      </w:r>
    </w:p>
    <w:p w:rsidR="00000000" w:rsidDel="00000000" w:rsidP="00000000" w:rsidRDefault="00000000" w:rsidRPr="00000000" w14:paraId="00000051">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&amp;rft.identifier=HD7095.U5+K56+2003</w:t>
      </w:r>
    </w:p>
    <w:p w:rsidR="00000000" w:rsidDel="00000000" w:rsidP="00000000" w:rsidRDefault="00000000" w:rsidRPr="00000000" w14:paraId="00000052">
      <w:pPr>
        <w:spacing w:after="40" w:before="40" w:lineRule="auto"/>
        <w:ind w:left="72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&amp;req_id=info%3Arfa%2Foclc%2FInstitutions%2F5683</w:t>
      </w:r>
    </w:p>
    <w:p w:rsidR="00000000" w:rsidDel="00000000" w:rsidP="00000000" w:rsidRDefault="00000000" w:rsidRPr="00000000" w14:paraId="00000053">
      <w:pPr>
        <w:rPr>
          <w:smallCaps w:val="1"/>
          <w:color w:val="243f60"/>
        </w:rPr>
      </w:pPr>
      <w:r w:rsidDel="00000000" w:rsidR="00000000" w:rsidRPr="00000000">
        <w:rPr>
          <w:smallCaps w:val="1"/>
          <w:color w:val="243f60"/>
          <w:rtl w:val="0"/>
        </w:rPr>
        <w:t xml:space="preserve">OCLC passed this Item to Request as a book. the series information is not included in the O</w:t>
      </w:r>
      <w:r w:rsidDel="00000000" w:rsidR="00000000" w:rsidRPr="00000000">
        <w:rPr>
          <w:smallCaps w:val="0"/>
          <w:color w:val="243f60"/>
          <w:rtl w:val="0"/>
        </w:rPr>
        <w:t xml:space="preserve">pen</w:t>
      </w:r>
      <w:r w:rsidDel="00000000" w:rsidR="00000000" w:rsidRPr="00000000">
        <w:rPr>
          <w:smallCaps w:val="1"/>
          <w:color w:val="243f60"/>
          <w:rtl w:val="0"/>
        </w:rPr>
        <w:t xml:space="preserve">URL.</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300" w:line="276" w:lineRule="auto"/>
        <w:ind w:left="0" w:right="0" w:firstLine="0"/>
        <w:jc w:val="left"/>
        <w:rPr>
          <w:rFonts w:ascii="Century Gothic" w:cs="Century Gothic" w:eastAsia="Century Gothic" w:hAnsi="Century Gothic"/>
          <w:b w:val="0"/>
          <w:i w:val="0"/>
          <w:smallCaps w:val="1"/>
          <w:strike w:val="0"/>
          <w:color w:val="365f91"/>
          <w:sz w:val="22"/>
          <w:szCs w:val="22"/>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365f91"/>
          <w:sz w:val="22"/>
          <w:szCs w:val="22"/>
          <w:u w:val="none"/>
          <w:shd w:fill="auto" w:val="clear"/>
          <w:vertAlign w:val="baseline"/>
          <w:rtl w:val="0"/>
        </w:rPr>
        <w:t xml:space="preserve">VDX record </w:t>
      </w:r>
    </w:p>
    <w:p w:rsidR="00000000" w:rsidDel="00000000" w:rsidP="00000000" w:rsidRDefault="00000000" w:rsidRPr="00000000" w14:paraId="00000055">
      <w:pPr>
        <w:spacing w:after="0" w:before="0" w:line="240" w:lineRule="auto"/>
        <w:rPr>
          <w:smallCaps w:val="0"/>
          <w:color w:val="243f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300" w:line="276" w:lineRule="auto"/>
        <w:ind w:left="0" w:right="0" w:firstLine="0"/>
        <w:jc w:val="left"/>
        <w:rPr>
          <w:rFonts w:ascii="Century Gothic" w:cs="Century Gothic" w:eastAsia="Century Gothic" w:hAnsi="Century Gothic"/>
          <w:b w:val="0"/>
          <w:i w:val="0"/>
          <w:smallCaps w:val="1"/>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000000"/>
          <w:sz w:val="18"/>
          <w:szCs w:val="18"/>
          <w:u w:val="none"/>
          <w:shd w:fill="auto" w:val="clear"/>
          <w:vertAlign w:val="baseline"/>
          <w:rtl w:val="0"/>
        </w:rPr>
        <w:t xml:space="preserve">Web</w:t>
      </w:r>
    </w:p>
    <w:p w:rsidR="00000000" w:rsidDel="00000000" w:rsidP="00000000" w:rsidRDefault="00000000" w:rsidRPr="00000000" w14:paraId="00000057">
      <w:pPr>
        <w:rPr>
          <w:smallCaps w:val="1"/>
          <w:color w:val="243f60"/>
        </w:rPr>
      </w:pPr>
      <w:r w:rsidDel="00000000" w:rsidR="00000000" w:rsidRPr="00000000">
        <w:rPr>
          <w:color w:val="243f60"/>
        </w:rPr>
        <w:drawing>
          <wp:inline distB="0" distT="0" distL="0" distR="0">
            <wp:extent cx="5105400" cy="5314950"/>
            <wp:effectExtent b="0" l="0" r="0" t="0"/>
            <wp:docPr id="10" name="image3.png"/>
            <a:graphic>
              <a:graphicData uri="http://schemas.openxmlformats.org/drawingml/2006/picture">
                <pic:pic>
                  <pic:nvPicPr>
                    <pic:cNvPr id="0" name="image3.png"/>
                    <pic:cNvPicPr preferRelativeResize="0"/>
                  </pic:nvPicPr>
                  <pic:blipFill>
                    <a:blip r:embed="rId15"/>
                    <a:srcRect b="3117" l="0" r="53178" t="21028"/>
                    <a:stretch>
                      <a:fillRect/>
                    </a:stretch>
                  </pic:blipFill>
                  <pic:spPr>
                    <a:xfrm>
                      <a:off x="0" y="0"/>
                      <a:ext cx="5105400" cy="53149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--snip---</w:t>
      </w:r>
    </w:p>
    <w:p w:rsidR="00000000" w:rsidDel="00000000" w:rsidP="00000000" w:rsidRDefault="00000000" w:rsidRPr="00000000" w14:paraId="00000059">
      <w:pPr>
        <w:rPr>
          <w:smallCaps w:val="1"/>
          <w:color w:val="243f60"/>
        </w:rPr>
      </w:pPr>
      <w:r w:rsidDel="00000000" w:rsidR="00000000" w:rsidRPr="00000000">
        <w:rPr>
          <w:color w:val="243f60"/>
        </w:rPr>
        <w:drawing>
          <wp:inline distB="0" distT="0" distL="0" distR="0">
            <wp:extent cx="5324475" cy="1285875"/>
            <wp:effectExtent b="0" l="0" r="0" t="0"/>
            <wp:docPr id="9" name="image1.png"/>
            <a:graphic>
              <a:graphicData uri="http://schemas.openxmlformats.org/drawingml/2006/picture">
                <pic:pic>
                  <pic:nvPicPr>
                    <pic:cNvPr id="0" name="image1.png"/>
                    <pic:cNvPicPr preferRelativeResize="0"/>
                  </pic:nvPicPr>
                  <pic:blipFill>
                    <a:blip r:embed="rId16"/>
                    <a:srcRect b="11091" l="0" r="33617" t="62082"/>
                    <a:stretch>
                      <a:fillRect/>
                    </a:stretch>
                  </pic:blipFill>
                  <pic:spPr>
                    <a:xfrm>
                      <a:off x="0" y="0"/>
                      <a:ext cx="53244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color w:val="365f9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3"/>
        <w:rPr/>
      </w:pPr>
      <w:bookmarkStart w:colFirst="0" w:colLast="0" w:name="_tyjcwt" w:id="5"/>
      <w:bookmarkEnd w:id="5"/>
      <w:r w:rsidDel="00000000" w:rsidR="00000000" w:rsidRPr="00000000">
        <w:rPr>
          <w:rtl w:val="0"/>
        </w:rPr>
        <w:t xml:space="preserve">EBSCOHost Business Source Complete database </w:t>
      </w:r>
    </w:p>
    <w:p w:rsidR="00000000" w:rsidDel="00000000" w:rsidP="00000000" w:rsidRDefault="00000000" w:rsidRPr="00000000" w14:paraId="0000005C">
      <w:pPr>
        <w:rPr/>
      </w:pPr>
      <w:r w:rsidDel="00000000" w:rsidR="00000000" w:rsidRPr="00000000">
        <w:rPr>
          <w:rtl w:val="0"/>
        </w:rPr>
        <w:t xml:space="preserve">Looking for the same item in a licensed database</w:t>
      </w:r>
    </w:p>
    <w:p w:rsidR="00000000" w:rsidDel="00000000" w:rsidP="00000000" w:rsidRDefault="00000000" w:rsidRPr="00000000" w14:paraId="0000005D">
      <w:pPr>
        <w:rPr/>
      </w:pPr>
      <w:r w:rsidDel="00000000" w:rsidR="00000000" w:rsidRPr="00000000">
        <w:rPr/>
        <w:drawing>
          <wp:inline distB="0" distT="0" distL="0" distR="0">
            <wp:extent cx="6705600" cy="4800600"/>
            <wp:effectExtent b="0" l="0" r="0" t="0"/>
            <wp:docPr id="12" name="image12.png"/>
            <a:graphic>
              <a:graphicData uri="http://schemas.openxmlformats.org/drawingml/2006/picture">
                <pic:pic>
                  <pic:nvPicPr>
                    <pic:cNvPr id="0" name="image12.png"/>
                    <pic:cNvPicPr preferRelativeResize="0"/>
                  </pic:nvPicPr>
                  <pic:blipFill>
                    <a:blip r:embed="rId17"/>
                    <a:srcRect b="16773" l="54262" r="13286" t="9918"/>
                    <a:stretch>
                      <a:fillRect/>
                    </a:stretch>
                  </pic:blipFill>
                  <pic:spPr>
                    <a:xfrm>
                      <a:off x="0" y="0"/>
                      <a:ext cx="67056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EBSCOHost Business Source Complete passed this as an </w:t>
      </w:r>
      <w:r w:rsidDel="00000000" w:rsidR="00000000" w:rsidRPr="00000000">
        <w:rPr>
          <w:i w:val="1"/>
          <w:color w:val="243f60"/>
          <w:rtl w:val="0"/>
        </w:rPr>
        <w:t xml:space="preserve">article with the series title in the OpenURL.</w:t>
      </w:r>
      <w:r w:rsidDel="00000000" w:rsidR="00000000" w:rsidRPr="00000000">
        <w:rPr>
          <w:rtl w:val="0"/>
        </w:rPr>
      </w:r>
    </w:p>
    <w:p w:rsidR="00000000" w:rsidDel="00000000" w:rsidP="00000000" w:rsidRDefault="00000000" w:rsidRPr="00000000" w14:paraId="0000005F">
      <w:pPr>
        <w:ind w:left="54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ttps://request.cdlib.org:4502/r2/openurl?rft_val_fmt=info%3Aofi%2Ffmt%3Akev%3Amtx%3A&amp;linktype=openurl&amp;rft.auinit1=M&amp;rfr_id=info%3Asid%2FEBSCO%3ABusiness+Source+Complete%3A20919152(Via+SFX)&amp;rft.aulast=Kiley&amp;rft.epage=30&amp;rft.auinit=M+T&amp;rft.atitle=How+Should+Unemployment+Benefits+Respond+to+the+Business+Cycle%3F&amp;rft.date=20030101&amp;rft.month=1&amp;rft.genre=bookitem&amp;rft.spage=1&amp;rft.auinitm=T&amp;rft.btitle=Working+Papers+--+U.S.+Federal+Reserve+Board%5C\'s+Finance&amp;rft.aufirst=Michael',</w:t>
      </w:r>
    </w:p>
    <w:p w:rsidR="00000000" w:rsidDel="00000000" w:rsidP="00000000" w:rsidRDefault="00000000" w:rsidRPr="00000000" w14:paraId="00000060">
      <w:pPr>
        <w:rPr/>
      </w:pPr>
      <w:r w:rsidDel="00000000" w:rsidR="00000000" w:rsidRPr="00000000">
        <w:rPr>
          <w:rtl w:val="0"/>
        </w:rPr>
        <w:t xml:space="preserve">To make the OpenURL easier to read: Paste the OpenURL from the navigation box on the Request form page into MS Word. Replace the ampersand (&amp;) with ^p&amp; </w:t>
      </w:r>
    </w:p>
    <w:p w:rsidR="00000000" w:rsidDel="00000000" w:rsidP="00000000" w:rsidRDefault="00000000" w:rsidRPr="00000000" w14:paraId="00000061">
      <w:pPr>
        <w:rPr/>
      </w:pPr>
      <w:r w:rsidDel="00000000" w:rsidR="00000000" w:rsidRPr="00000000">
        <w:rPr/>
        <w:drawing>
          <wp:inline distB="0" distT="0" distL="0" distR="0">
            <wp:extent cx="3533775" cy="1447800"/>
            <wp:effectExtent b="0" l="0" r="0" t="0"/>
            <wp:docPr id="11" name="image13.png"/>
            <a:graphic>
              <a:graphicData uri="http://schemas.openxmlformats.org/drawingml/2006/picture">
                <pic:pic>
                  <pic:nvPicPr>
                    <pic:cNvPr id="0" name="image13.png"/>
                    <pic:cNvPicPr preferRelativeResize="0"/>
                  </pic:nvPicPr>
                  <pic:blipFill>
                    <a:blip r:embed="rId14"/>
                    <a:srcRect b="50972" l="2687" r="80972" t="27861"/>
                    <a:stretch>
                      <a:fillRect/>
                    </a:stretch>
                  </pic:blipFill>
                  <pic:spPr>
                    <a:xfrm>
                      <a:off x="0" y="0"/>
                      <a:ext cx="35337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 OpenURL passed from UC-eLinks to Request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https://request.cdlib.org:4502/r2/openurl?rft_val_fmt=info%3Aofi%2Ffmt%3Akev%3Amtx%3A</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&amp;linktype=openurl</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&amp;rft.auinit1=M</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rPr>
      </w:pPr>
      <w:r w:rsidDel="00000000" w:rsidR="00000000" w:rsidRPr="00000000">
        <w:rPr>
          <w:b w:val="1"/>
          <w:rtl w:val="0"/>
        </w:rPr>
        <w:t xml:space="preserve">&amp;rfr_id=info%3Asid%2FEBSCO%3ABusiness+Source+Complete%3A20919152(Via+SFX)</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rPr>
      </w:pPr>
      <w:r w:rsidDel="00000000" w:rsidR="00000000" w:rsidRPr="00000000">
        <w:rPr>
          <w:b w:val="1"/>
          <w:rtl w:val="0"/>
        </w:rPr>
        <w:t xml:space="preserve">&amp;rft.aulast=Kiley</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&amp;rft.epage=30</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&amp;rft.auinit=M+T</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b w:val="1"/>
          <w:rtl w:val="0"/>
        </w:rPr>
        <w:t xml:space="preserve">&amp;rft.atitle</w:t>
      </w:r>
      <w:r w:rsidDel="00000000" w:rsidR="00000000" w:rsidRPr="00000000">
        <w:rPr>
          <w:rtl w:val="0"/>
        </w:rPr>
        <w:t xml:space="preserve">=How+Should+Unemployment+Benefits+Respond+to+the+Business+Cycle%3F</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&amp;rft.date=20030101</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&amp;rft.month=1</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w:t>
      </w:r>
      <w:r w:rsidDel="00000000" w:rsidR="00000000" w:rsidRPr="00000000">
        <w:rPr>
          <w:b w:val="1"/>
          <w:rtl w:val="0"/>
        </w:rPr>
        <w:t xml:space="preserve">rft.genre</w:t>
      </w:r>
      <w:r w:rsidDel="00000000" w:rsidR="00000000" w:rsidRPr="00000000">
        <w:rPr>
          <w:rtl w:val="0"/>
        </w:rPr>
        <w:t xml:space="preserve">=bookitem</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w:t>
      </w:r>
      <w:r w:rsidDel="00000000" w:rsidR="00000000" w:rsidRPr="00000000">
        <w:rPr>
          <w:b w:val="1"/>
          <w:rtl w:val="0"/>
        </w:rPr>
        <w:t xml:space="preserve">rft.spage</w:t>
      </w:r>
      <w:r w:rsidDel="00000000" w:rsidR="00000000" w:rsidRPr="00000000">
        <w:rPr>
          <w:rtl w:val="0"/>
        </w:rPr>
        <w:t xml:space="preserve">=1</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&amp;rft.auinitm=T</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w:t>
      </w:r>
      <w:r w:rsidDel="00000000" w:rsidR="00000000" w:rsidRPr="00000000">
        <w:rPr>
          <w:b w:val="1"/>
          <w:rtl w:val="0"/>
        </w:rPr>
        <w:t xml:space="preserve">rft.btitle</w:t>
      </w:r>
      <w:r w:rsidDel="00000000" w:rsidR="00000000" w:rsidRPr="00000000">
        <w:rPr>
          <w:rtl w:val="0"/>
        </w:rPr>
        <w:t xml:space="preserve">=Working+Papers+--+U.S.+Federal+Reserve+Board%5C\'s+Finance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t xml:space="preserve">&amp;rft.aufirst=Michael',</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300" w:line="276" w:lineRule="auto"/>
        <w:ind w:left="0" w:right="0" w:firstLine="0"/>
        <w:jc w:val="left"/>
        <w:rPr>
          <w:rFonts w:ascii="Century Gothic" w:cs="Century Gothic" w:eastAsia="Century Gothic" w:hAnsi="Century Gothic"/>
          <w:b w:val="0"/>
          <w:i w:val="0"/>
          <w:smallCaps w:val="1"/>
          <w:strike w:val="0"/>
          <w:color w:val="365f91"/>
          <w:sz w:val="22"/>
          <w:szCs w:val="22"/>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365f91"/>
          <w:sz w:val="22"/>
          <w:szCs w:val="22"/>
          <w:u w:val="none"/>
          <w:shd w:fill="auto" w:val="clear"/>
          <w:vertAlign w:val="baseline"/>
          <w:rtl w:val="0"/>
        </w:rPr>
        <w:t xml:space="preserve">VDX record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300" w:line="276" w:lineRule="auto"/>
        <w:ind w:left="0" w:right="0" w:firstLine="0"/>
        <w:jc w:val="left"/>
        <w:rPr>
          <w:rFonts w:ascii="Century Gothic" w:cs="Century Gothic" w:eastAsia="Century Gothic" w:hAnsi="Century Gothic"/>
          <w:b w:val="0"/>
          <w:i w:val="0"/>
          <w:smallCaps w:val="1"/>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000000"/>
          <w:sz w:val="18"/>
          <w:szCs w:val="18"/>
          <w:u w:val="none"/>
          <w:shd w:fill="auto" w:val="clear"/>
          <w:vertAlign w:val="baseline"/>
          <w:rtl w:val="0"/>
        </w:rPr>
        <w:t xml:space="preserve">Web</w:t>
      </w:r>
    </w:p>
    <w:p w:rsidR="00000000" w:rsidDel="00000000" w:rsidP="00000000" w:rsidRDefault="00000000" w:rsidRPr="00000000" w14:paraId="00000074">
      <w:pPr>
        <w:rPr/>
      </w:pPr>
      <w:r w:rsidDel="00000000" w:rsidR="00000000" w:rsidRPr="00000000">
        <w:rPr/>
        <w:drawing>
          <wp:inline distB="0" distT="0" distL="0" distR="0">
            <wp:extent cx="4476750" cy="3095625"/>
            <wp:effectExtent b="0" l="0" r="0" t="0"/>
            <wp:docPr id="14" name="image4.png"/>
            <a:graphic>
              <a:graphicData uri="http://schemas.openxmlformats.org/drawingml/2006/picture">
                <pic:pic>
                  <pic:nvPicPr>
                    <pic:cNvPr id="0" name="image4.png"/>
                    <pic:cNvPicPr preferRelativeResize="0"/>
                  </pic:nvPicPr>
                  <pic:blipFill>
                    <a:blip r:embed="rId18"/>
                    <a:srcRect b="22711" l="0" r="40622" t="12642"/>
                    <a:stretch>
                      <a:fillRect/>
                    </a:stretch>
                  </pic:blipFill>
                  <pic:spPr>
                    <a:xfrm>
                      <a:off x="0" y="0"/>
                      <a:ext cx="447675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Change from OTHER TO “Part of Book” to see details</w:t>
      </w:r>
    </w:p>
    <w:p w:rsidR="00000000" w:rsidDel="00000000" w:rsidP="00000000" w:rsidRDefault="00000000" w:rsidRPr="00000000" w14:paraId="00000076">
      <w:pPr>
        <w:rPr/>
      </w:pPr>
      <w:r w:rsidDel="00000000" w:rsidR="00000000" w:rsidRPr="00000000">
        <w:rPr/>
        <w:drawing>
          <wp:inline distB="0" distT="0" distL="0" distR="0">
            <wp:extent cx="4638675" cy="4914900"/>
            <wp:effectExtent b="0" l="0" r="0" t="0"/>
            <wp:docPr id="13" name="image2.png"/>
            <a:graphic>
              <a:graphicData uri="http://schemas.openxmlformats.org/drawingml/2006/picture">
                <pic:pic>
                  <pic:nvPicPr>
                    <pic:cNvPr id="0" name="image2.png"/>
                    <pic:cNvPicPr preferRelativeResize="0"/>
                  </pic:nvPicPr>
                  <pic:blipFill>
                    <a:blip r:embed="rId19"/>
                    <a:srcRect b="4648" l="0" r="51010" t="12082"/>
                    <a:stretch>
                      <a:fillRect/>
                    </a:stretch>
                  </pic:blipFill>
                  <pic:spPr>
                    <a:xfrm>
                      <a:off x="0" y="0"/>
                      <a:ext cx="4638675" cy="4914900"/>
                    </a:xfrm>
                    <a:prstGeom prst="rect"/>
                    <a:ln/>
                  </pic:spPr>
                </pic:pic>
              </a:graphicData>
            </a:graphic>
          </wp:inline>
        </w:drawing>
      </w:r>
      <w:r w:rsidDel="00000000" w:rsidR="00000000" w:rsidRPr="00000000">
        <w:rPr>
          <w:rtl w:val="0"/>
        </w:rPr>
      </w:r>
    </w:p>
    <w:sectPr>
      <w:headerReference r:id="rId20" w:type="first"/>
      <w:type w:val="nextPage"/>
      <w:pgSz w:h="15840" w:w="12240"/>
      <w:pgMar w:bottom="720" w:top="720" w:left="720" w:right="720" w:header="720" w:footer="720"/>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Style w:val="Subtitle"/>
      <w:spacing w:after="120" w:before="0" w:lineRule="auto"/>
      <w:jc w:val="center"/>
      <w:rPr/>
    </w:pPr>
    <w:r w:rsidDel="00000000" w:rsidR="00000000" w:rsidRPr="00000000">
      <w:rPr>
        <w:rtl w:val="0"/>
      </w:rPr>
      <w:t xml:space="preserve">Request and the WorldCat Availability Query Service</w:t>
    </w:r>
  </w:p>
  <w:p w:rsidR="00000000" w:rsidDel="00000000" w:rsidP="00000000" w:rsidRDefault="00000000" w:rsidRPr="00000000" w14:paraId="00000079">
    <w:pPr>
      <w:spacing w:before="0" w:lineRule="auto"/>
      <w:jc w:val="center"/>
      <w:rPr>
        <w:sz w:val="18"/>
        <w:szCs w:val="18"/>
      </w:rPr>
    </w:pPr>
    <w:r w:rsidDel="00000000" w:rsidR="00000000" w:rsidRPr="00000000">
      <w:rPr>
        <w:sz w:val="18"/>
        <w:szCs w:val="18"/>
        <w:rtl w:val="0"/>
      </w:rPr>
      <w:t xml:space="preserve">3 Feb 2011 saw; Last update 24 September 2019 amr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1080" w:hanging="360"/>
      </w:pPr>
      <w:rPr>
        <w:rFonts w:ascii="Courier New" w:cs="Courier New" w:eastAsia="Courier New" w:hAnsi="Courier New"/>
      </w:rPr>
    </w:lvl>
    <w:lvl w:ilvl="1">
      <w:start w:val="1"/>
      <w:numFmt w:val="decimal"/>
      <w:lvlText w:val="o.%2."/>
      <w:lvlJc w:val="left"/>
      <w:pPr>
        <w:ind w:left="1512" w:hanging="432.0000000000002"/>
      </w:pPr>
      <w:rPr/>
    </w:lvl>
    <w:lvl w:ilvl="2">
      <w:start w:val="1"/>
      <w:numFmt w:val="decimal"/>
      <w:lvlText w:val="o.%2.%3."/>
      <w:lvlJc w:val="left"/>
      <w:pPr>
        <w:ind w:left="1944" w:hanging="504"/>
      </w:pPr>
      <w:rPr/>
    </w:lvl>
    <w:lvl w:ilvl="3">
      <w:start w:val="1"/>
      <w:numFmt w:val="decimal"/>
      <w:lvlText w:val="o.%2.%3.%4."/>
      <w:lvlJc w:val="left"/>
      <w:pPr>
        <w:ind w:left="2448" w:hanging="648"/>
      </w:pPr>
      <w:rPr/>
    </w:lvl>
    <w:lvl w:ilvl="4">
      <w:start w:val="1"/>
      <w:numFmt w:val="decimal"/>
      <w:lvlText w:val="o.%2.%3.%4.%5."/>
      <w:lvlJc w:val="left"/>
      <w:pPr>
        <w:ind w:left="2952" w:hanging="792"/>
      </w:pPr>
      <w:rPr/>
    </w:lvl>
    <w:lvl w:ilvl="5">
      <w:start w:val="1"/>
      <w:numFmt w:val="decimal"/>
      <w:lvlText w:val="o.%2.%3.%4.%5.%6."/>
      <w:lvlJc w:val="left"/>
      <w:pPr>
        <w:ind w:left="3456" w:hanging="935.9999999999995"/>
      </w:pPr>
      <w:rPr/>
    </w:lvl>
    <w:lvl w:ilvl="6">
      <w:start w:val="1"/>
      <w:numFmt w:val="decimal"/>
      <w:lvlText w:val="o.%2.%3.%4.%5.%6.%7."/>
      <w:lvlJc w:val="left"/>
      <w:pPr>
        <w:ind w:left="3960" w:hanging="1080"/>
      </w:pPr>
      <w:rPr/>
    </w:lvl>
    <w:lvl w:ilvl="7">
      <w:start w:val="1"/>
      <w:numFmt w:val="decimal"/>
      <w:lvlText w:val="o.%2.%3.%4.%5.%6.%7.%8."/>
      <w:lvlJc w:val="left"/>
      <w:pPr>
        <w:ind w:left="4464" w:hanging="1224"/>
      </w:pPr>
      <w:rPr/>
    </w:lvl>
    <w:lvl w:ilvl="8">
      <w:start w:val="1"/>
      <w:numFmt w:val="decimal"/>
      <w:lvlText w:val="o.%2.%3.%4.%5.%6.%7.%8.%9."/>
      <w:lvlJc w:val="left"/>
      <w:pPr>
        <w:ind w:left="5040" w:hanging="144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en-US"/>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f81bd" w:space="0" w:sz="24" w:val="single"/>
        <w:left w:color="4f81bd" w:space="0" w:sz="24" w:val="single"/>
        <w:bottom w:color="4f81bd" w:space="0" w:sz="24" w:val="single"/>
        <w:right w:color="4f81bd" w:space="0" w:sz="24" w:val="single"/>
      </w:pBdr>
      <w:shd w:fill="4f81bd" w:val="clear"/>
      <w:spacing w:after="0" w:lineRule="auto"/>
    </w:pPr>
    <w:rPr>
      <w:b w:val="1"/>
      <w:smallCaps w:val="1"/>
      <w:color w:val="ffffff"/>
      <w:sz w:val="22"/>
      <w:szCs w:val="22"/>
    </w:rPr>
  </w:style>
  <w:style w:type="paragraph" w:styleId="Heading2">
    <w:name w:val="heading 2"/>
    <w:basedOn w:val="Normal"/>
    <w:next w:val="Normal"/>
    <w:pPr>
      <w:pBdr>
        <w:top w:color="dbe5f1" w:space="0" w:sz="24" w:val="single"/>
        <w:left w:color="dbe5f1" w:space="0" w:sz="24" w:val="single"/>
        <w:bottom w:color="dbe5f1" w:space="0" w:sz="24" w:val="single"/>
        <w:right w:color="dbe5f1" w:space="0" w:sz="24" w:val="single"/>
      </w:pBdr>
      <w:shd w:fill="dbe5f1" w:val="clear"/>
      <w:spacing w:after="0" w:before="300" w:lineRule="auto"/>
    </w:pPr>
    <w:rPr>
      <w:smallCaps w:val="1"/>
      <w:sz w:val="22"/>
      <w:szCs w:val="22"/>
    </w:rPr>
  </w:style>
  <w:style w:type="paragraph" w:styleId="Heading3">
    <w:name w:val="heading 3"/>
    <w:basedOn w:val="Normal"/>
    <w:next w:val="Normal"/>
    <w:pPr>
      <w:pBdr>
        <w:top w:color="4f81bd" w:space="2" w:sz="6" w:val="single"/>
        <w:left w:color="4f81bd" w:space="2" w:sz="6" w:val="single"/>
      </w:pBdr>
      <w:spacing w:after="120" w:before="300" w:lineRule="auto"/>
    </w:pPr>
    <w:rPr>
      <w:smallCaps w:val="1"/>
      <w:color w:val="243f60"/>
      <w:sz w:val="22"/>
      <w:szCs w:val="22"/>
    </w:rPr>
  </w:style>
  <w:style w:type="paragraph" w:styleId="Heading4">
    <w:name w:val="heading 4"/>
    <w:basedOn w:val="Normal"/>
    <w:next w:val="Normal"/>
    <w:pPr>
      <w:pBdr>
        <w:top w:color="4f81bd" w:space="2" w:sz="6" w:val="dotted"/>
        <w:left w:color="4f81bd" w:space="2" w:sz="6" w:val="dotted"/>
      </w:pBdr>
      <w:spacing w:after="0" w:before="300" w:lineRule="auto"/>
    </w:pPr>
    <w:rPr>
      <w:smallCaps w:val="1"/>
      <w:color w:val="365f91"/>
      <w:sz w:val="22"/>
      <w:szCs w:val="22"/>
    </w:rPr>
  </w:style>
  <w:style w:type="paragraph" w:styleId="Heading5">
    <w:name w:val="heading 5"/>
    <w:basedOn w:val="Normal"/>
    <w:next w:val="Normal"/>
    <w:pPr>
      <w:pBdr>
        <w:bottom w:color="4f81bd" w:space="1" w:sz="6" w:val="single"/>
      </w:pBdr>
      <w:spacing w:after="0" w:before="300" w:lineRule="auto"/>
    </w:pPr>
    <w:rPr>
      <w:smallCaps w:val="1"/>
      <w:color w:val="365f91"/>
      <w:sz w:val="22"/>
      <w:szCs w:val="22"/>
    </w:rPr>
  </w:style>
  <w:style w:type="paragraph" w:styleId="Heading6">
    <w:name w:val="heading 6"/>
    <w:basedOn w:val="Normal"/>
    <w:next w:val="Normal"/>
    <w:pPr>
      <w:pBdr>
        <w:bottom w:color="4f81bd" w:space="1" w:sz="6" w:val="dotted"/>
      </w:pBdr>
      <w:spacing w:after="0" w:before="300" w:lineRule="auto"/>
    </w:pPr>
    <w:rPr>
      <w:smallCaps w:val="1"/>
      <w:color w:val="365f91"/>
      <w:sz w:val="22"/>
      <w:szCs w:val="22"/>
    </w:rPr>
  </w:style>
  <w:style w:type="paragraph" w:styleId="Title">
    <w:name w:val="Title"/>
    <w:basedOn w:val="Normal"/>
    <w:next w:val="Normal"/>
    <w:pPr>
      <w:spacing w:before="720" w:lineRule="auto"/>
    </w:pPr>
    <w:rPr>
      <w:smallCaps w:val="1"/>
      <w:color w:val="4f81bd"/>
      <w:sz w:val="52"/>
      <w:szCs w:val="52"/>
    </w:rPr>
  </w:style>
  <w:style w:type="paragraph" w:styleId="Subtitle">
    <w:name w:val="Subtitle"/>
    <w:basedOn w:val="Normal"/>
    <w:next w:val="Normal"/>
    <w:pPr>
      <w:spacing w:after="1000" w:line="240" w:lineRule="auto"/>
    </w:pPr>
    <w:rPr>
      <w:smallCaps w:val="1"/>
      <w:color w:val="595959"/>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image" Target="media/image1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eader" Target="header2.xml"/><Relationship Id="rId18"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