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23" w:rsidRDefault="004B1B23" w:rsidP="005C7033">
      <w:pPr>
        <w:pStyle w:val="Heading2"/>
      </w:pPr>
      <w:bookmarkStart w:id="0" w:name="_Toc253730746"/>
      <w:bookmarkStart w:id="1" w:name="_Toc287884586"/>
      <w:bookmarkStart w:id="2" w:name="_Toc288483393"/>
      <w:r>
        <w:t>Bibliographic Standards for Shared Print Monographs (2-2-2011)</w:t>
      </w:r>
      <w:bookmarkEnd w:id="1"/>
      <w:bookmarkEnd w:id="2"/>
    </w:p>
    <w:p w:rsidR="004B1B23" w:rsidRDefault="004B1B23" w:rsidP="004B1B23">
      <w:pPr>
        <w:rPr>
          <w:rFonts w:cs="Arial"/>
        </w:rPr>
      </w:pPr>
      <w:r>
        <w:rPr>
          <w:rFonts w:cs="Arial"/>
        </w:rPr>
        <w:t>Rev. February 2, 2011</w:t>
      </w:r>
    </w:p>
    <w:p w:rsidR="004B1B23" w:rsidRPr="00D73E3E" w:rsidRDefault="004B1B23" w:rsidP="004B1B23">
      <w:pPr>
        <w:rPr>
          <w:rFonts w:cs="Arial"/>
        </w:rPr>
      </w:pPr>
      <w:r w:rsidRPr="00D73E3E">
        <w:rPr>
          <w:rFonts w:cs="Arial"/>
        </w:rPr>
        <w:t xml:space="preserve">Monographs </w:t>
      </w:r>
      <w:r>
        <w:rPr>
          <w:rFonts w:cs="Arial"/>
        </w:rPr>
        <w:t>acquired on an</w:t>
      </w:r>
      <w:r w:rsidRPr="00C95942">
        <w:rPr>
          <w:rFonts w:cs="Arial"/>
        </w:rPr>
        <w:t xml:space="preserve"> approved, formal </w:t>
      </w:r>
      <w:r>
        <w:rPr>
          <w:rFonts w:cs="Arial"/>
        </w:rPr>
        <w:t>shared monograph</w:t>
      </w:r>
      <w:r w:rsidRPr="00C95942">
        <w:rPr>
          <w:rFonts w:cs="Arial"/>
        </w:rPr>
        <w:t xml:space="preserve"> </w:t>
      </w:r>
      <w:r>
        <w:rPr>
          <w:rFonts w:cs="Arial"/>
        </w:rPr>
        <w:t>program</w:t>
      </w:r>
      <w:r w:rsidRPr="00D73E3E">
        <w:rPr>
          <w:rFonts w:cs="Arial"/>
        </w:rPr>
        <w:t xml:space="preserve"> are designated </w:t>
      </w:r>
      <w:r>
        <w:rPr>
          <w:rFonts w:cs="Arial"/>
        </w:rPr>
        <w:t xml:space="preserve">and disclosed </w:t>
      </w:r>
      <w:r w:rsidRPr="00D73E3E">
        <w:rPr>
          <w:rFonts w:cs="Arial"/>
        </w:rPr>
        <w:t xml:space="preserve">as Shared Print monographs. The Shared Print monographs are </w:t>
      </w:r>
      <w:r>
        <w:rPr>
          <w:rFonts w:cs="Arial"/>
        </w:rPr>
        <w:t xml:space="preserve">disclosed as such and are </w:t>
      </w:r>
      <w:r w:rsidRPr="00D73E3E">
        <w:rPr>
          <w:rFonts w:cs="Arial"/>
        </w:rPr>
        <w:t xml:space="preserve">subject to specific descriptive standards, retention commitments and access policies. </w:t>
      </w:r>
    </w:p>
    <w:p w:rsidR="004B1B23" w:rsidRDefault="004B1B23" w:rsidP="004B1B23">
      <w:pPr>
        <w:rPr>
          <w:rFonts w:cs="Arial"/>
        </w:rPr>
      </w:pPr>
      <w:r w:rsidRPr="00D73E3E">
        <w:rPr>
          <w:rFonts w:cs="Arial"/>
        </w:rPr>
        <w:t xml:space="preserve">The following standards are used to </w:t>
      </w:r>
    </w:p>
    <w:p w:rsidR="004B1B23" w:rsidRPr="00C95942" w:rsidRDefault="004B1B23" w:rsidP="004B1B23">
      <w:pPr>
        <w:pStyle w:val="ListParagraph"/>
        <w:numPr>
          <w:ilvl w:val="0"/>
          <w:numId w:val="6"/>
        </w:numPr>
        <w:rPr>
          <w:rFonts w:asciiTheme="minorHAnsi" w:hAnsiTheme="minorHAnsi" w:cs="Arial"/>
        </w:rPr>
      </w:pPr>
      <w:r w:rsidRPr="00C95942">
        <w:rPr>
          <w:rFonts w:asciiTheme="minorHAnsi" w:hAnsiTheme="minorHAnsi" w:cs="Arial"/>
        </w:rPr>
        <w:t>disclose shared print monographs in catalogs</w:t>
      </w:r>
    </w:p>
    <w:p w:rsidR="004B1B23" w:rsidRDefault="004B1B23" w:rsidP="004B1B23">
      <w:pPr>
        <w:pStyle w:val="ListParagraph"/>
        <w:numPr>
          <w:ilvl w:val="0"/>
          <w:numId w:val="6"/>
        </w:numPr>
        <w:rPr>
          <w:rFonts w:asciiTheme="minorHAnsi" w:hAnsiTheme="minorHAnsi" w:cs="Arial"/>
        </w:rPr>
      </w:pPr>
      <w:r w:rsidRPr="00C95942">
        <w:rPr>
          <w:rFonts w:asciiTheme="minorHAnsi" w:hAnsiTheme="minorHAnsi" w:cs="Arial"/>
        </w:rPr>
        <w:t xml:space="preserve">establish cataloging service requirements when working with vendors and </w:t>
      </w:r>
    </w:p>
    <w:p w:rsidR="004B1B23" w:rsidRPr="00C95942" w:rsidRDefault="004B1B23" w:rsidP="004B1B23">
      <w:pPr>
        <w:pStyle w:val="ListParagraph"/>
        <w:numPr>
          <w:ilvl w:val="0"/>
          <w:numId w:val="6"/>
        </w:numPr>
        <w:rPr>
          <w:rFonts w:asciiTheme="minorHAnsi" w:hAnsiTheme="minorHAnsi" w:cs="Arial"/>
        </w:rPr>
      </w:pPr>
      <w:r w:rsidRPr="00C95942">
        <w:rPr>
          <w:rFonts w:asciiTheme="minorHAnsi" w:hAnsiTheme="minorHAnsi" w:cs="Arial"/>
        </w:rPr>
        <w:t xml:space="preserve">prioritize cataloging efforts for shared print monographs in relation to other copies. </w:t>
      </w:r>
    </w:p>
    <w:p w:rsidR="004B1B23" w:rsidRPr="00C95942" w:rsidRDefault="004B1B23" w:rsidP="004B1B23">
      <w:pPr>
        <w:rPr>
          <w:rFonts w:cs="Arial"/>
        </w:rPr>
      </w:pPr>
      <w:r w:rsidRPr="00C95942">
        <w:rPr>
          <w:rFonts w:cs="Arial"/>
        </w:rPr>
        <w:t>Additional standards are outlined for the acquisition of Shared Print monographs.</w:t>
      </w:r>
    </w:p>
    <w:p w:rsidR="004B1B23" w:rsidRDefault="004B1B23" w:rsidP="004B1B23">
      <w:pPr>
        <w:rPr>
          <w:rFonts w:cs="Arial"/>
        </w:rPr>
      </w:pPr>
      <w:r w:rsidRPr="00D73E3E">
        <w:rPr>
          <w:rFonts w:cs="Arial"/>
        </w:rPr>
        <w:t xml:space="preserve">A managing campus or campuses are designated to handle Shared Print monographs. A managing campus catalogs the Shared Print materials according to these standards. </w:t>
      </w:r>
    </w:p>
    <w:p w:rsidR="004B1B23" w:rsidRPr="00D73E3E" w:rsidRDefault="004B1B23" w:rsidP="004B1B23">
      <w:pPr>
        <w:rPr>
          <w:rFonts w:cs="Arial"/>
        </w:rPr>
      </w:pPr>
      <w:r w:rsidRPr="00D73E3E">
        <w:rPr>
          <w:rFonts w:cs="Arial"/>
        </w:rPr>
        <w:t xml:space="preserve">A lead cataloger is identified at a managing campus and is responsible for </w:t>
      </w:r>
      <w:r>
        <w:rPr>
          <w:rFonts w:cs="Arial"/>
        </w:rPr>
        <w:t xml:space="preserve">working with the Resource Liaison for the program to </w:t>
      </w:r>
      <w:r w:rsidRPr="00D73E3E">
        <w:rPr>
          <w:rFonts w:cs="Arial"/>
        </w:rPr>
        <w:t>respond to day-to-day questions from campuses, storage facilities and vendors.</w:t>
      </w:r>
    </w:p>
    <w:p w:rsidR="004B1B23" w:rsidRPr="00D73E3E" w:rsidRDefault="004B1B23" w:rsidP="004B1B23">
      <w:pPr>
        <w:rPr>
          <w:rFonts w:cs="Arial"/>
        </w:rPr>
      </w:pPr>
      <w:r w:rsidRPr="00D73E3E">
        <w:rPr>
          <w:rFonts w:cs="Arial"/>
        </w:rPr>
        <w:t xml:space="preserve">Changes to these standards are made by </w:t>
      </w:r>
      <w:r>
        <w:rPr>
          <w:rFonts w:cs="Arial"/>
        </w:rPr>
        <w:t>CDL Shared Print in consultation with HOTS</w:t>
      </w:r>
      <w:r w:rsidRPr="00D73E3E">
        <w:rPr>
          <w:rFonts w:cs="Arial"/>
        </w:rPr>
        <w:t>.</w:t>
      </w:r>
    </w:p>
    <w:p w:rsidR="004B1B23" w:rsidRPr="00D73E3E" w:rsidRDefault="004B1B23" w:rsidP="004B1B23">
      <w:pPr>
        <w:rPr>
          <w:rFonts w:cs="Arial"/>
          <w:b/>
        </w:rPr>
      </w:pPr>
      <w:r w:rsidRPr="00D73E3E">
        <w:rPr>
          <w:rFonts w:cs="Arial"/>
          <w:b/>
        </w:rPr>
        <w:t>I. Disclosure in Union Catalogs</w:t>
      </w:r>
    </w:p>
    <w:p w:rsidR="004B1B23" w:rsidRPr="00D73E3E" w:rsidRDefault="004B1B23" w:rsidP="004B1B23">
      <w:pPr>
        <w:rPr>
          <w:rFonts w:cs="Arial"/>
          <w:color w:val="800080"/>
        </w:rPr>
      </w:pPr>
      <w:r w:rsidRPr="00D73E3E">
        <w:rPr>
          <w:rFonts w:cs="Arial"/>
        </w:rPr>
        <w:t>Shared Print monographs are disclosed in union catalogs (e.g. NextGenMelvyl, OCLC). The managing campus is responsible for ensuring disclosure in the union catalog.</w:t>
      </w:r>
    </w:p>
    <w:p w:rsidR="004B1B23" w:rsidRPr="00D73E3E" w:rsidRDefault="004B1B23" w:rsidP="004B1B23">
      <w:pPr>
        <w:rPr>
          <w:rFonts w:cs="Arial"/>
        </w:rPr>
      </w:pPr>
      <w:r w:rsidRPr="00D73E3E">
        <w:rPr>
          <w:rFonts w:cs="Arial"/>
        </w:rPr>
        <w:t xml:space="preserve">Shared Print monographs are disclosed </w:t>
      </w:r>
      <w:r>
        <w:rPr>
          <w:rFonts w:cs="Arial"/>
        </w:rPr>
        <w:t>as such</w:t>
      </w:r>
      <w:r w:rsidRPr="00D73E3E">
        <w:rPr>
          <w:rFonts w:cs="Arial"/>
        </w:rPr>
        <w:t xml:space="preserve"> to </w:t>
      </w:r>
      <w:r>
        <w:rPr>
          <w:rFonts w:cs="Arial"/>
        </w:rPr>
        <w:t>support</w:t>
      </w:r>
      <w:r w:rsidRPr="00D73E3E">
        <w:rPr>
          <w:rFonts w:cs="Arial"/>
        </w:rPr>
        <w:t xml:space="preserve"> </w:t>
      </w:r>
      <w:r>
        <w:rPr>
          <w:rFonts w:cs="Arial"/>
        </w:rPr>
        <w:t xml:space="preserve">discovery and collection management </w:t>
      </w:r>
      <w:r w:rsidRPr="00D73E3E">
        <w:rPr>
          <w:rFonts w:cs="Arial"/>
        </w:rPr>
        <w:t xml:space="preserve">functions </w:t>
      </w:r>
      <w:r>
        <w:rPr>
          <w:rFonts w:cs="Arial"/>
        </w:rPr>
        <w:t>(functions in</w:t>
      </w:r>
      <w:r w:rsidRPr="00D73E3E">
        <w:rPr>
          <w:rFonts w:cs="Arial"/>
        </w:rPr>
        <w:t xml:space="preserve"> the user interface and the “back end”</w:t>
      </w:r>
      <w:r>
        <w:rPr>
          <w:rFonts w:cs="Arial"/>
        </w:rPr>
        <w:t>) including</w:t>
      </w:r>
      <w:r w:rsidRPr="00D73E3E">
        <w:rPr>
          <w:rFonts w:cs="Arial"/>
        </w:rPr>
        <w:t>:</w:t>
      </w:r>
    </w:p>
    <w:p w:rsidR="004B1B23" w:rsidRPr="00D73E3E" w:rsidRDefault="004B1B23" w:rsidP="004B1B23">
      <w:pPr>
        <w:numPr>
          <w:ilvl w:val="0"/>
          <w:numId w:val="3"/>
        </w:numPr>
        <w:spacing w:after="0" w:line="240" w:lineRule="auto"/>
        <w:rPr>
          <w:rFonts w:cs="Arial"/>
        </w:rPr>
      </w:pPr>
      <w:r>
        <w:rPr>
          <w:rFonts w:cs="Arial"/>
        </w:rPr>
        <w:t>E</w:t>
      </w:r>
      <w:r w:rsidRPr="00D73E3E">
        <w:rPr>
          <w:rFonts w:cs="Arial"/>
        </w:rPr>
        <w:t>nd-user discovery</w:t>
      </w:r>
    </w:p>
    <w:p w:rsidR="004B1B23" w:rsidRPr="00D73E3E" w:rsidRDefault="004B1B23" w:rsidP="004B1B23">
      <w:pPr>
        <w:numPr>
          <w:ilvl w:val="0"/>
          <w:numId w:val="3"/>
        </w:numPr>
        <w:spacing w:after="0" w:line="240" w:lineRule="auto"/>
        <w:rPr>
          <w:rFonts w:cs="Arial"/>
        </w:rPr>
      </w:pPr>
      <w:r w:rsidRPr="00D73E3E">
        <w:rPr>
          <w:rFonts w:cs="Arial"/>
        </w:rPr>
        <w:t xml:space="preserve">Identification of shared print resources in the context of other copies  </w:t>
      </w:r>
    </w:p>
    <w:p w:rsidR="004B1B23" w:rsidRPr="00D73E3E" w:rsidRDefault="004B1B23" w:rsidP="004B1B23">
      <w:pPr>
        <w:numPr>
          <w:ilvl w:val="0"/>
          <w:numId w:val="3"/>
        </w:numPr>
        <w:spacing w:after="0" w:line="240" w:lineRule="auto"/>
        <w:rPr>
          <w:rFonts w:cs="Arial"/>
        </w:rPr>
      </w:pPr>
      <w:r>
        <w:rPr>
          <w:rFonts w:cs="Arial"/>
        </w:rPr>
        <w:t>N</w:t>
      </w:r>
      <w:r w:rsidRPr="00D73E3E">
        <w:rPr>
          <w:rFonts w:cs="Arial"/>
        </w:rPr>
        <w:t>etwork-level (regional, national, international) collection management decisions</w:t>
      </w:r>
    </w:p>
    <w:p w:rsidR="004B1B23" w:rsidRPr="00D73E3E" w:rsidRDefault="004B1B23" w:rsidP="004B1B23">
      <w:pPr>
        <w:numPr>
          <w:ilvl w:val="0"/>
          <w:numId w:val="3"/>
        </w:numPr>
        <w:spacing w:after="0" w:line="240" w:lineRule="auto"/>
        <w:rPr>
          <w:rFonts w:cs="Arial"/>
        </w:rPr>
      </w:pPr>
      <w:r>
        <w:rPr>
          <w:rFonts w:cs="Arial"/>
        </w:rPr>
        <w:t>Preparation of</w:t>
      </w:r>
      <w:r w:rsidRPr="00D73E3E">
        <w:rPr>
          <w:rFonts w:cs="Arial"/>
        </w:rPr>
        <w:t xml:space="preserve"> lists of shared print monographs from the union catalog</w:t>
      </w:r>
    </w:p>
    <w:p w:rsidR="004B1B23" w:rsidRPr="00D73E3E" w:rsidRDefault="004B1B23" w:rsidP="004B1B23">
      <w:pPr>
        <w:numPr>
          <w:ilvl w:val="0"/>
          <w:numId w:val="3"/>
        </w:numPr>
        <w:spacing w:after="0" w:line="240" w:lineRule="auto"/>
        <w:rPr>
          <w:rFonts w:cs="Arial"/>
        </w:rPr>
      </w:pPr>
      <w:r w:rsidRPr="00D73E3E">
        <w:rPr>
          <w:rFonts w:cs="Arial"/>
        </w:rPr>
        <w:t xml:space="preserve">Assessment of shared print monographs in the context of other copies </w:t>
      </w:r>
      <w:r>
        <w:rPr>
          <w:rFonts w:cs="Arial"/>
        </w:rPr>
        <w:t>and formats</w:t>
      </w:r>
    </w:p>
    <w:p w:rsidR="004B1B23" w:rsidRPr="00D73E3E" w:rsidRDefault="004B1B23" w:rsidP="004B1B23">
      <w:pPr>
        <w:rPr>
          <w:rFonts w:cs="Arial"/>
        </w:rPr>
      </w:pPr>
    </w:p>
    <w:p w:rsidR="004B1B23" w:rsidRPr="00D73E3E" w:rsidRDefault="004B1B23" w:rsidP="004B1B23">
      <w:pPr>
        <w:rPr>
          <w:rFonts w:cs="Arial"/>
        </w:rPr>
      </w:pPr>
      <w:r w:rsidRPr="00D73E3E">
        <w:rPr>
          <w:rFonts w:cs="Arial"/>
        </w:rPr>
        <w:t xml:space="preserve">Shared Print monographs are disclosed in union catalogs by using: </w:t>
      </w:r>
    </w:p>
    <w:p w:rsidR="004B1B23" w:rsidRPr="00D73E3E" w:rsidRDefault="004B1B23" w:rsidP="004B1B23">
      <w:pPr>
        <w:numPr>
          <w:ilvl w:val="0"/>
          <w:numId w:val="4"/>
        </w:numPr>
        <w:spacing w:after="0" w:line="240" w:lineRule="auto"/>
        <w:rPr>
          <w:rFonts w:cs="Arial"/>
          <w:b/>
        </w:rPr>
      </w:pPr>
      <w:r w:rsidRPr="00D73E3E">
        <w:rPr>
          <w:rFonts w:cs="Arial"/>
          <w:b/>
        </w:rPr>
        <w:t xml:space="preserve">bibliographic data elements </w:t>
      </w:r>
    </w:p>
    <w:p w:rsidR="004B1B23" w:rsidRPr="00D73E3E" w:rsidRDefault="004B1B23" w:rsidP="004B1B23">
      <w:pPr>
        <w:numPr>
          <w:ilvl w:val="0"/>
          <w:numId w:val="4"/>
        </w:numPr>
        <w:spacing w:after="0" w:line="240" w:lineRule="auto"/>
        <w:rPr>
          <w:rFonts w:cs="Arial"/>
          <w:b/>
        </w:rPr>
      </w:pPr>
      <w:r w:rsidRPr="00D73E3E">
        <w:rPr>
          <w:rFonts w:cs="Arial"/>
          <w:b/>
        </w:rPr>
        <w:t>local data elements</w:t>
      </w:r>
    </w:p>
    <w:p w:rsidR="004B1B23" w:rsidRPr="00D73E3E" w:rsidRDefault="004B1B23" w:rsidP="004B1B23">
      <w:pPr>
        <w:numPr>
          <w:ilvl w:val="0"/>
          <w:numId w:val="4"/>
        </w:numPr>
        <w:spacing w:after="0" w:line="240" w:lineRule="auto"/>
        <w:rPr>
          <w:rFonts w:cs="Arial"/>
          <w:b/>
        </w:rPr>
      </w:pPr>
      <w:r w:rsidRPr="00D73E3E">
        <w:rPr>
          <w:rFonts w:cs="Arial"/>
          <w:b/>
        </w:rPr>
        <w:t xml:space="preserve">OCLC holdings symbols </w:t>
      </w:r>
    </w:p>
    <w:p w:rsidR="004B1B23" w:rsidRDefault="004B1B23" w:rsidP="004B1B23">
      <w:pPr>
        <w:rPr>
          <w:rFonts w:cs="Arial"/>
          <w:b/>
        </w:rPr>
      </w:pPr>
    </w:p>
    <w:p w:rsidR="004B1B23" w:rsidRPr="00D73E3E" w:rsidRDefault="004B1B23" w:rsidP="004B1B23">
      <w:pPr>
        <w:rPr>
          <w:rFonts w:cs="Arial"/>
          <w:b/>
        </w:rPr>
      </w:pPr>
      <w:r w:rsidRPr="00D73E3E">
        <w:rPr>
          <w:rFonts w:cs="Arial"/>
          <w:b/>
        </w:rPr>
        <w:lastRenderedPageBreak/>
        <w:t xml:space="preserve">a. Bibliographic Elements </w:t>
      </w:r>
    </w:p>
    <w:p w:rsidR="004B1B23" w:rsidRPr="00D73E3E" w:rsidRDefault="004B1B23" w:rsidP="004B1B23">
      <w:pPr>
        <w:rPr>
          <w:rFonts w:cs="Arial"/>
        </w:rPr>
      </w:pPr>
      <w:r w:rsidRPr="00D73E3E">
        <w:rPr>
          <w:rFonts w:cs="Arial"/>
        </w:rPr>
        <w:t xml:space="preserve">Special bibliographic elements are used to identify specific items as shared print copies. Each element captures basic information about the collection, governing policies, retention commitments and preservation actions that pertain to the specific book. </w:t>
      </w:r>
      <w:r>
        <w:rPr>
          <w:rFonts w:cs="Arial"/>
        </w:rPr>
        <w:t>These</w:t>
      </w:r>
      <w:r w:rsidRPr="00D73E3E">
        <w:rPr>
          <w:rFonts w:cs="Arial"/>
        </w:rPr>
        <w:t xml:space="preserve"> bibliographic elements are populated: </w:t>
      </w:r>
    </w:p>
    <w:p w:rsidR="004B1B23" w:rsidRPr="00D73E3E" w:rsidRDefault="004B1B23" w:rsidP="004B1B23">
      <w:pPr>
        <w:rPr>
          <w:rFonts w:cs="Arial"/>
        </w:rPr>
      </w:pPr>
    </w:p>
    <w:p w:rsidR="004B1B23" w:rsidRPr="009623E0" w:rsidRDefault="004B1B23" w:rsidP="004B1B23">
      <w:pPr>
        <w:rPr>
          <w:rFonts w:cs="Arial"/>
          <w:b/>
        </w:rPr>
      </w:pPr>
      <w:r w:rsidRPr="00D73E3E">
        <w:rPr>
          <w:rFonts w:cs="Arial"/>
          <w:b/>
        </w:rPr>
        <w:t xml:space="preserve">Table 1: Shared Print Bibliographic Elements  </w:t>
      </w:r>
    </w:p>
    <w:tbl>
      <w:tblPr>
        <w:tblW w:w="9198" w:type="dxa"/>
        <w:tblLook w:val="00A0"/>
      </w:tblPr>
      <w:tblGrid>
        <w:gridCol w:w="2891"/>
        <w:gridCol w:w="3373"/>
        <w:gridCol w:w="2934"/>
      </w:tblGrid>
      <w:tr w:rsidR="004B1B23" w:rsidRPr="00D73E3E" w:rsidTr="00003236">
        <w:trPr>
          <w:trHeight w:val="141"/>
        </w:trPr>
        <w:tc>
          <w:tcPr>
            <w:tcW w:w="2891" w:type="dxa"/>
            <w:tcBorders>
              <w:top w:val="nil"/>
              <w:left w:val="nil"/>
              <w:bottom w:val="single" w:sz="6" w:space="0" w:color="000000"/>
              <w:right w:val="single" w:sz="6" w:space="0" w:color="000000"/>
            </w:tcBorders>
            <w:shd w:val="clear" w:color="auto" w:fill="auto"/>
          </w:tcPr>
          <w:p w:rsidR="004B1B23" w:rsidRPr="00D73E3E" w:rsidRDefault="004B1B23" w:rsidP="00003236">
            <w:pPr>
              <w:rPr>
                <w:rFonts w:cs="Arial"/>
                <w:b/>
                <w:bCs/>
              </w:rPr>
            </w:pPr>
            <w:r w:rsidRPr="00D73E3E">
              <w:rPr>
                <w:rFonts w:cs="Arial"/>
                <w:b/>
                <w:bCs/>
              </w:rPr>
              <w:t xml:space="preserve">BIBLIOGRAPHIC </w:t>
            </w:r>
          </w:p>
        </w:tc>
        <w:tc>
          <w:tcPr>
            <w:tcW w:w="3373" w:type="dxa"/>
            <w:tcBorders>
              <w:top w:val="nil"/>
              <w:left w:val="single" w:sz="6" w:space="0" w:color="000000"/>
              <w:bottom w:val="single" w:sz="6" w:space="0" w:color="000000"/>
              <w:right w:val="single" w:sz="6" w:space="0" w:color="000000"/>
            </w:tcBorders>
            <w:shd w:val="clear" w:color="auto" w:fill="auto"/>
          </w:tcPr>
          <w:p w:rsidR="004B1B23" w:rsidRPr="00D73E3E" w:rsidRDefault="004B1B23" w:rsidP="00003236">
            <w:pPr>
              <w:rPr>
                <w:rFonts w:cs="Arial"/>
                <w:b/>
                <w:bCs/>
              </w:rPr>
            </w:pPr>
            <w:r w:rsidRPr="00D73E3E">
              <w:rPr>
                <w:rFonts w:cs="Arial"/>
                <w:b/>
                <w:bCs/>
              </w:rPr>
              <w:t>TERM/DESCRIPTION</w:t>
            </w:r>
          </w:p>
        </w:tc>
        <w:tc>
          <w:tcPr>
            <w:tcW w:w="2934" w:type="dxa"/>
            <w:tcBorders>
              <w:top w:val="nil"/>
              <w:left w:val="single" w:sz="6" w:space="0" w:color="000000"/>
              <w:bottom w:val="single" w:sz="6" w:space="0" w:color="000000"/>
              <w:right w:val="nil"/>
            </w:tcBorders>
            <w:shd w:val="clear" w:color="auto" w:fill="auto"/>
          </w:tcPr>
          <w:p w:rsidR="004B1B23" w:rsidRPr="00D73E3E" w:rsidRDefault="004B1B23" w:rsidP="00003236">
            <w:pPr>
              <w:rPr>
                <w:rFonts w:cs="Arial"/>
                <w:b/>
                <w:bCs/>
              </w:rPr>
            </w:pPr>
            <w:r w:rsidRPr="00D73E3E">
              <w:rPr>
                <w:rFonts w:cs="Arial"/>
                <w:b/>
                <w:bCs/>
              </w:rPr>
              <w:t>EXAMPLES</w:t>
            </w:r>
          </w:p>
        </w:tc>
      </w:tr>
      <w:tr w:rsidR="004B1B23" w:rsidRPr="00D73E3E" w:rsidTr="00003236">
        <w:trPr>
          <w:trHeight w:val="3207"/>
        </w:trPr>
        <w:tc>
          <w:tcPr>
            <w:tcW w:w="2891" w:type="dxa"/>
            <w:tcBorders>
              <w:top w:val="single" w:sz="6" w:space="0" w:color="000000"/>
              <w:left w:val="nil"/>
              <w:bottom w:val="single" w:sz="6" w:space="0" w:color="000000"/>
              <w:right w:val="single" w:sz="6" w:space="0" w:color="000000"/>
            </w:tcBorders>
            <w:shd w:val="clear" w:color="auto" w:fill="auto"/>
          </w:tcPr>
          <w:p w:rsidR="004B1B23" w:rsidRPr="00D73E3E" w:rsidRDefault="004B1B23" w:rsidP="00003236">
            <w:pPr>
              <w:rPr>
                <w:rFonts w:cs="Arial"/>
                <w:b/>
                <w:bCs/>
              </w:rPr>
            </w:pPr>
            <w:r w:rsidRPr="00D73E3E">
              <w:rPr>
                <w:rFonts w:cs="Arial"/>
                <w:b/>
                <w:bCs/>
              </w:rPr>
              <w:t>793 Added Entry-Uniform Title(R)</w:t>
            </w:r>
          </w:p>
          <w:p w:rsidR="004B1B23" w:rsidRPr="00D73E3E" w:rsidRDefault="004B1B23" w:rsidP="00003236">
            <w:pPr>
              <w:rPr>
                <w:rFonts w:cs="Arial"/>
                <w:b/>
                <w:bCs/>
              </w:rPr>
            </w:pPr>
          </w:p>
          <w:p w:rsidR="004B1B23" w:rsidRPr="00D73E3E" w:rsidRDefault="004B1B23" w:rsidP="00003236">
            <w:pPr>
              <w:rPr>
                <w:rFonts w:cs="Arial"/>
                <w:b/>
                <w:bCs/>
              </w:rPr>
            </w:pPr>
            <w:r w:rsidRPr="00D73E3E">
              <w:rPr>
                <w:rFonts w:cs="Arial"/>
                <w:b/>
                <w:bCs/>
              </w:rPr>
              <w:t>$a   Uniform title</w:t>
            </w:r>
          </w:p>
          <w:p w:rsidR="004B1B23" w:rsidRPr="00D73E3E" w:rsidRDefault="004B1B23" w:rsidP="00003236">
            <w:pPr>
              <w:rPr>
                <w:rFonts w:cs="Arial"/>
                <w:b/>
                <w:bCs/>
              </w:rPr>
            </w:pPr>
            <w:r w:rsidRPr="00D73E3E">
              <w:rPr>
                <w:rFonts w:cs="Arial"/>
                <w:b/>
                <w:bCs/>
              </w:rPr>
              <w:t>$p   Name of collection</w:t>
            </w:r>
          </w:p>
          <w:p w:rsidR="004B1B23" w:rsidRPr="00D73E3E" w:rsidRDefault="004B1B23" w:rsidP="00003236">
            <w:pPr>
              <w:rPr>
                <w:rFonts w:cs="Arial"/>
                <w:b/>
                <w:bCs/>
              </w:rPr>
            </w:pPr>
            <w:r w:rsidRPr="00D73E3E">
              <w:rPr>
                <w:rFonts w:cs="Arial"/>
                <w:b/>
                <w:bCs/>
              </w:rPr>
              <w:t>$5   Institution to which            field applies</w:t>
            </w:r>
          </w:p>
          <w:p w:rsidR="004B1B23" w:rsidRPr="00D73E3E" w:rsidRDefault="004B1B23" w:rsidP="00003236">
            <w:pPr>
              <w:rPr>
                <w:b/>
                <w:bCs/>
              </w:rPr>
            </w:pPr>
          </w:p>
        </w:tc>
        <w:tc>
          <w:tcPr>
            <w:tcW w:w="3373" w:type="dxa"/>
            <w:tcBorders>
              <w:top w:val="single" w:sz="6" w:space="0" w:color="000000"/>
              <w:left w:val="single" w:sz="6" w:space="0" w:color="000000"/>
              <w:bottom w:val="single" w:sz="6" w:space="0" w:color="000000"/>
              <w:right w:val="single" w:sz="6" w:space="0" w:color="000000"/>
            </w:tcBorders>
            <w:shd w:val="clear" w:color="auto" w:fill="auto"/>
          </w:tcPr>
          <w:p w:rsidR="004B1B23" w:rsidRPr="00D73E3E" w:rsidRDefault="004B1B23" w:rsidP="00003236">
            <w:pPr>
              <w:rPr>
                <w:rFonts w:cs="Arial"/>
                <w:bCs/>
              </w:rPr>
            </w:pPr>
            <w:r w:rsidRPr="00D73E3E">
              <w:rPr>
                <w:rFonts w:cs="Arial"/>
                <w:bCs/>
              </w:rPr>
              <w:t>Uniform title used as added entry to identify an item as shared print and identify the collection to which it belongs. Used to run local/union reports.</w:t>
            </w:r>
          </w:p>
          <w:p w:rsidR="004B1B23" w:rsidRPr="00D73E3E" w:rsidRDefault="004B1B23" w:rsidP="00003236">
            <w:pPr>
              <w:rPr>
                <w:rFonts w:cs="Arial"/>
                <w:bCs/>
                <w:color w:val="339966"/>
              </w:rPr>
            </w:pPr>
          </w:p>
        </w:tc>
        <w:tc>
          <w:tcPr>
            <w:tcW w:w="2934" w:type="dxa"/>
            <w:tcBorders>
              <w:top w:val="single" w:sz="6" w:space="0" w:color="000000"/>
              <w:left w:val="single" w:sz="6" w:space="0" w:color="000000"/>
              <w:bottom w:val="single" w:sz="6" w:space="0" w:color="000000"/>
              <w:right w:val="nil"/>
            </w:tcBorders>
            <w:shd w:val="clear" w:color="auto" w:fill="auto"/>
          </w:tcPr>
          <w:p w:rsidR="004B1B23" w:rsidRPr="00D73E3E" w:rsidRDefault="004B1B23" w:rsidP="00003236">
            <w:pPr>
              <w:rPr>
                <w:rFonts w:cs="Arial"/>
                <w:color w:val="333333"/>
              </w:rPr>
            </w:pPr>
            <w:r w:rsidRPr="00D73E3E">
              <w:rPr>
                <w:rFonts w:cs="Arial"/>
                <w:color w:val="333333"/>
              </w:rPr>
              <w:t xml:space="preserve">$a </w:t>
            </w:r>
            <w:smartTag w:uri="urn:schemas-microsoft-com:office:smarttags" w:element="stockticker">
              <w:r w:rsidRPr="00D73E3E">
                <w:rPr>
                  <w:rFonts w:cs="Arial"/>
                  <w:color w:val="333333"/>
                </w:rPr>
                <w:t>UCL</w:t>
              </w:r>
            </w:smartTag>
            <w:r w:rsidRPr="00D73E3E">
              <w:rPr>
                <w:rFonts w:cs="Arial"/>
                <w:color w:val="333333"/>
              </w:rPr>
              <w:t xml:space="preserve"> Shared Print</w:t>
            </w:r>
          </w:p>
          <w:p w:rsidR="004B1B23" w:rsidRPr="00D73E3E" w:rsidRDefault="004B1B23" w:rsidP="00003236">
            <w:pPr>
              <w:rPr>
                <w:rFonts w:cs="Arial"/>
                <w:color w:val="333333"/>
              </w:rPr>
            </w:pPr>
            <w:r w:rsidRPr="00D73E3E">
              <w:rPr>
                <w:rFonts w:cs="Arial"/>
                <w:color w:val="333333"/>
              </w:rPr>
              <w:t>$p Anglophone Literature</w:t>
            </w:r>
          </w:p>
          <w:p w:rsidR="004B1B23" w:rsidRPr="00D73E3E" w:rsidRDefault="004B1B23" w:rsidP="00003236">
            <w:pPr>
              <w:rPr>
                <w:rFonts w:cs="Arial"/>
                <w:color w:val="333333"/>
              </w:rPr>
            </w:pPr>
            <w:r w:rsidRPr="00D73E3E">
              <w:rPr>
                <w:rFonts w:cs="Arial"/>
                <w:color w:val="333333"/>
              </w:rPr>
              <w:t>$5 CU</w:t>
            </w:r>
          </w:p>
          <w:p w:rsidR="004B1B23" w:rsidRPr="00D73E3E" w:rsidRDefault="004B1B23" w:rsidP="00003236">
            <w:pPr>
              <w:rPr>
                <w:rFonts w:cs="Arial"/>
                <w:color w:val="333333"/>
              </w:rPr>
            </w:pPr>
          </w:p>
          <w:p w:rsidR="004B1B23" w:rsidRPr="00D73E3E" w:rsidRDefault="004B1B23" w:rsidP="00003236">
            <w:pPr>
              <w:rPr>
                <w:rFonts w:cs="Arial"/>
                <w:bCs/>
              </w:rPr>
            </w:pPr>
          </w:p>
        </w:tc>
      </w:tr>
      <w:tr w:rsidR="004B1B23" w:rsidRPr="00D73E3E" w:rsidTr="00003236">
        <w:trPr>
          <w:trHeight w:val="3207"/>
        </w:trPr>
        <w:tc>
          <w:tcPr>
            <w:tcW w:w="2891" w:type="dxa"/>
            <w:tcBorders>
              <w:top w:val="single" w:sz="6" w:space="0" w:color="000000"/>
              <w:left w:val="nil"/>
              <w:bottom w:val="nil"/>
              <w:right w:val="single" w:sz="6" w:space="0" w:color="000000"/>
            </w:tcBorders>
            <w:shd w:val="clear" w:color="auto" w:fill="auto"/>
          </w:tcPr>
          <w:p w:rsidR="004B1B23" w:rsidRPr="00D73E3E" w:rsidRDefault="004B1B23" w:rsidP="00003236">
            <w:pPr>
              <w:rPr>
                <w:rFonts w:cs="Arial"/>
              </w:rPr>
            </w:pPr>
            <w:r w:rsidRPr="00D73E3E">
              <w:rPr>
                <w:rFonts w:cs="Arial"/>
                <w:b/>
                <w:bCs/>
              </w:rPr>
              <w:t>Local Location Code</w:t>
            </w:r>
          </w:p>
          <w:p w:rsidR="004B1B23" w:rsidRPr="00D73E3E" w:rsidRDefault="004B1B23" w:rsidP="00003236">
            <w:pPr>
              <w:rPr>
                <w:rFonts w:cs="Arial"/>
              </w:rPr>
            </w:pPr>
          </w:p>
          <w:p w:rsidR="004B1B23" w:rsidRPr="00D73E3E" w:rsidRDefault="004B1B23" w:rsidP="00003236">
            <w:pPr>
              <w:rPr>
                <w:rFonts w:cs="Arial"/>
                <w:b/>
                <w:bCs/>
                <w:color w:val="339966"/>
              </w:rPr>
            </w:pPr>
          </w:p>
          <w:p w:rsidR="004B1B23" w:rsidRPr="00D73E3E" w:rsidRDefault="004B1B23" w:rsidP="00003236">
            <w:pPr>
              <w:rPr>
                <w:rFonts w:cs="Arial"/>
                <w:b/>
                <w:bCs/>
                <w:color w:val="339966"/>
              </w:rPr>
            </w:pPr>
          </w:p>
          <w:p w:rsidR="004B1B23" w:rsidRPr="00D73E3E" w:rsidRDefault="004B1B23" w:rsidP="00003236">
            <w:pPr>
              <w:rPr>
                <w:rFonts w:cs="Arial"/>
                <w:b/>
                <w:bCs/>
                <w:color w:val="339966"/>
              </w:rPr>
            </w:pPr>
          </w:p>
          <w:p w:rsidR="004B1B23" w:rsidRPr="00D73E3E" w:rsidRDefault="004B1B23" w:rsidP="00003236">
            <w:pPr>
              <w:rPr>
                <w:rFonts w:cs="Arial"/>
                <w:b/>
                <w:bCs/>
              </w:rPr>
            </w:pPr>
          </w:p>
        </w:tc>
        <w:tc>
          <w:tcPr>
            <w:tcW w:w="3373" w:type="dxa"/>
            <w:tcBorders>
              <w:top w:val="single" w:sz="6" w:space="0" w:color="000000"/>
              <w:left w:val="single" w:sz="6" w:space="0" w:color="000000"/>
              <w:bottom w:val="nil"/>
              <w:right w:val="single" w:sz="6" w:space="0" w:color="000000"/>
            </w:tcBorders>
            <w:shd w:val="clear" w:color="auto" w:fill="auto"/>
          </w:tcPr>
          <w:p w:rsidR="004B1B23" w:rsidRPr="00D73E3E" w:rsidRDefault="004B1B23" w:rsidP="00003236">
            <w:pPr>
              <w:pStyle w:val="HTMLPreformatted"/>
              <w:rPr>
                <w:rFonts w:asciiTheme="minorHAnsi" w:hAnsiTheme="minorHAnsi" w:cs="Arial"/>
                <w:sz w:val="22"/>
                <w:szCs w:val="22"/>
              </w:rPr>
            </w:pPr>
            <w:r w:rsidRPr="00D73E3E">
              <w:rPr>
                <w:rFonts w:asciiTheme="minorHAnsi" w:hAnsiTheme="minorHAnsi" w:cs="Arial"/>
                <w:sz w:val="22"/>
                <w:szCs w:val="22"/>
              </w:rPr>
              <w:t xml:space="preserve">Use this information to designate </w:t>
            </w:r>
            <w:r>
              <w:rPr>
                <w:rFonts w:asciiTheme="minorHAnsi" w:hAnsiTheme="minorHAnsi" w:cs="Arial"/>
                <w:sz w:val="22"/>
                <w:szCs w:val="22"/>
              </w:rPr>
              <w:t xml:space="preserve">an </w:t>
            </w:r>
            <w:r w:rsidRPr="00D73E3E">
              <w:rPr>
                <w:rFonts w:asciiTheme="minorHAnsi" w:hAnsiTheme="minorHAnsi" w:cs="Arial"/>
                <w:sz w:val="22"/>
                <w:szCs w:val="22"/>
              </w:rPr>
              <w:t>item as shared print in place. This field is used to gather local information/statistics (e.g. circulation history, titles, reports) This information does not remain in the master record, nor institution records</w:t>
            </w:r>
          </w:p>
          <w:p w:rsidR="004B1B23" w:rsidRPr="00D73E3E" w:rsidRDefault="004B1B23" w:rsidP="0000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9966"/>
              </w:rPr>
            </w:pPr>
          </w:p>
        </w:tc>
        <w:tc>
          <w:tcPr>
            <w:tcW w:w="2934" w:type="dxa"/>
            <w:tcBorders>
              <w:top w:val="single" w:sz="6" w:space="0" w:color="000000"/>
              <w:left w:val="single" w:sz="6" w:space="0" w:color="000000"/>
              <w:bottom w:val="nil"/>
              <w:right w:val="nil"/>
            </w:tcBorders>
            <w:shd w:val="clear" w:color="auto" w:fill="auto"/>
          </w:tcPr>
          <w:p w:rsidR="004B1B23" w:rsidRPr="00D73E3E" w:rsidRDefault="004B1B23" w:rsidP="00003236">
            <w:pPr>
              <w:pStyle w:val="HTMLPreformatted"/>
              <w:rPr>
                <w:rFonts w:asciiTheme="minorHAnsi" w:hAnsiTheme="minorHAnsi" w:cs="Arial"/>
                <w:sz w:val="22"/>
                <w:szCs w:val="22"/>
              </w:rPr>
            </w:pPr>
            <w:r w:rsidRPr="00D73E3E">
              <w:rPr>
                <w:rFonts w:asciiTheme="minorHAnsi" w:hAnsiTheme="minorHAnsi" w:cs="Arial"/>
                <w:sz w:val="22"/>
                <w:szCs w:val="22"/>
              </w:rPr>
              <w:t>sps</w:t>
            </w:r>
          </w:p>
          <w:p w:rsidR="004B1B23" w:rsidRPr="00D73E3E" w:rsidRDefault="004B1B23" w:rsidP="00003236">
            <w:pPr>
              <w:pStyle w:val="HTMLPreformatted"/>
              <w:rPr>
                <w:rFonts w:asciiTheme="minorHAnsi" w:hAnsiTheme="minorHAnsi" w:cs="Arial"/>
                <w:sz w:val="22"/>
                <w:szCs w:val="22"/>
              </w:rPr>
            </w:pPr>
          </w:p>
          <w:p w:rsidR="004B1B23" w:rsidRPr="00D73E3E" w:rsidRDefault="004B1B23" w:rsidP="00003236">
            <w:pPr>
              <w:pStyle w:val="HTMLPreformatted"/>
              <w:rPr>
                <w:rFonts w:asciiTheme="minorHAnsi" w:hAnsiTheme="minorHAnsi" w:cs="Arial"/>
                <w:sz w:val="22"/>
                <w:szCs w:val="22"/>
              </w:rPr>
            </w:pPr>
            <w:r w:rsidRPr="00D73E3E">
              <w:rPr>
                <w:rFonts w:asciiTheme="minorHAnsi" w:hAnsiTheme="minorHAnsi" w:cs="Arial"/>
                <w:sz w:val="22"/>
                <w:szCs w:val="22"/>
              </w:rPr>
              <w:t>Example:</w:t>
            </w:r>
          </w:p>
          <w:p w:rsidR="004B1B23" w:rsidRPr="00D73E3E" w:rsidRDefault="004B1B23" w:rsidP="00003236">
            <w:pPr>
              <w:pStyle w:val="HTMLPreformatted"/>
              <w:rPr>
                <w:rFonts w:asciiTheme="minorHAnsi" w:hAnsiTheme="minorHAnsi" w:cs="Arial"/>
                <w:sz w:val="22"/>
                <w:szCs w:val="22"/>
              </w:rPr>
            </w:pPr>
            <w:r w:rsidRPr="00D73E3E">
              <w:rPr>
                <w:rFonts w:asciiTheme="minorHAnsi" w:hAnsiTheme="minorHAnsi" w:cs="Arial"/>
                <w:sz w:val="22"/>
                <w:szCs w:val="22"/>
              </w:rPr>
              <w:t xml:space="preserve">For UC Merced, </w:t>
            </w:r>
            <w:r>
              <w:rPr>
                <w:rFonts w:asciiTheme="minorHAnsi" w:hAnsiTheme="minorHAnsi" w:cs="Arial"/>
                <w:sz w:val="22"/>
                <w:szCs w:val="22"/>
              </w:rPr>
              <w:t>the vendor</w:t>
            </w:r>
            <w:r w:rsidRPr="00D73E3E">
              <w:rPr>
                <w:rFonts w:asciiTheme="minorHAnsi" w:hAnsiTheme="minorHAnsi" w:cs="Arial"/>
                <w:sz w:val="22"/>
                <w:szCs w:val="22"/>
              </w:rPr>
              <w:t xml:space="preserve"> puts the Shared Print location code for Springer titles</w:t>
            </w:r>
            <w:r>
              <w:rPr>
                <w:rFonts w:asciiTheme="minorHAnsi" w:hAnsiTheme="minorHAnsi" w:cs="Arial"/>
                <w:sz w:val="22"/>
                <w:szCs w:val="22"/>
              </w:rPr>
              <w:t xml:space="preserve"> </w:t>
            </w:r>
            <w:r w:rsidRPr="00D73E3E">
              <w:rPr>
                <w:rFonts w:asciiTheme="minorHAnsi" w:hAnsiTheme="minorHAnsi" w:cs="Arial"/>
                <w:sz w:val="22"/>
                <w:szCs w:val="22"/>
              </w:rPr>
              <w:t>(“sps”) in a 949_1  field as part of their normal bibliographic record processing.  Merced interfiles these items within its collections, so this is a “virtual” location. The data in the 949_1 field is used to create an item record upon bibliographic record import.</w:t>
            </w:r>
          </w:p>
        </w:tc>
      </w:tr>
    </w:tbl>
    <w:p w:rsidR="004B1B23" w:rsidRDefault="004B1B23" w:rsidP="004B1B23">
      <w:pPr>
        <w:rPr>
          <w:rFonts w:cs="Arial"/>
          <w:b/>
        </w:rPr>
      </w:pPr>
    </w:p>
    <w:p w:rsidR="004B1B23" w:rsidRDefault="004B1B23" w:rsidP="004B1B23">
      <w:pPr>
        <w:rPr>
          <w:rFonts w:cs="Arial"/>
          <w:b/>
        </w:rPr>
      </w:pPr>
    </w:p>
    <w:p w:rsidR="00794E82" w:rsidRDefault="00794E82" w:rsidP="004B1B23">
      <w:pPr>
        <w:rPr>
          <w:rFonts w:cs="Arial"/>
          <w:b/>
        </w:rPr>
      </w:pPr>
    </w:p>
    <w:p w:rsidR="004B1B23" w:rsidRPr="00D73E3E" w:rsidRDefault="004B1B23" w:rsidP="004B1B23">
      <w:pPr>
        <w:rPr>
          <w:rFonts w:cs="Arial"/>
          <w:b/>
        </w:rPr>
      </w:pPr>
      <w:r w:rsidRPr="00D73E3E">
        <w:rPr>
          <w:rFonts w:cs="Arial"/>
          <w:b/>
        </w:rPr>
        <w:lastRenderedPageBreak/>
        <w:t xml:space="preserve">b. OCLC </w:t>
      </w:r>
      <w:r>
        <w:rPr>
          <w:rFonts w:cs="Arial"/>
          <w:b/>
        </w:rPr>
        <w:t>Institution</w:t>
      </w:r>
      <w:r w:rsidRPr="00D73E3E">
        <w:rPr>
          <w:rFonts w:cs="Arial"/>
          <w:b/>
        </w:rPr>
        <w:t xml:space="preserve"> Symbols and </w:t>
      </w:r>
      <w:r>
        <w:rPr>
          <w:rFonts w:cs="Arial"/>
          <w:b/>
        </w:rPr>
        <w:t xml:space="preserve">Holdings </w:t>
      </w:r>
      <w:r w:rsidRPr="00D73E3E">
        <w:rPr>
          <w:rFonts w:cs="Arial"/>
          <w:b/>
        </w:rPr>
        <w:t xml:space="preserve">Location Codes </w:t>
      </w:r>
    </w:p>
    <w:p w:rsidR="004B1B23" w:rsidRPr="00D73E3E" w:rsidRDefault="004B1B23" w:rsidP="004B1B23">
      <w:pPr>
        <w:rPr>
          <w:rFonts w:cs="Arial"/>
        </w:rPr>
      </w:pPr>
      <w:r w:rsidRPr="00D73E3E">
        <w:rPr>
          <w:rFonts w:cs="Arial"/>
        </w:rPr>
        <w:t xml:space="preserve">OCLC </w:t>
      </w:r>
      <w:r>
        <w:rPr>
          <w:rFonts w:cs="Arial"/>
        </w:rPr>
        <w:t>Institution</w:t>
      </w:r>
      <w:r w:rsidRPr="00D73E3E">
        <w:rPr>
          <w:rFonts w:cs="Arial"/>
        </w:rPr>
        <w:t xml:space="preserve"> symbols and </w:t>
      </w:r>
      <w:r>
        <w:rPr>
          <w:rFonts w:cs="Arial"/>
        </w:rPr>
        <w:t xml:space="preserve">holdings </w:t>
      </w:r>
      <w:r w:rsidRPr="00D73E3E">
        <w:rPr>
          <w:rFonts w:cs="Arial"/>
        </w:rPr>
        <w:t xml:space="preserve">location codes are used to identify shared print material at the institution and collection level. </w:t>
      </w:r>
    </w:p>
    <w:p w:rsidR="004B1B23" w:rsidRPr="00D73E3E" w:rsidRDefault="004B1B23" w:rsidP="004B1B23">
      <w:pPr>
        <w:rPr>
          <w:rFonts w:cs="Arial"/>
        </w:rPr>
      </w:pPr>
      <w:r w:rsidRPr="00D73E3E">
        <w:rPr>
          <w:rFonts w:cs="Arial"/>
        </w:rPr>
        <w:t xml:space="preserve">The application of holdings symbols and location codes depends upon where the monograph is received and ultimately shelved. Shared Print monographs may be received and held in place (at a campus/university). Shared Print in Place may be interfiled among the libraries’ general collections. A shared print monograph may also be moved from a campus/university to an off-site facility after some time. And finally, shared monographs may also be acquired by a campus/university and shipped directly from a provider to an off-site facility. </w:t>
      </w:r>
    </w:p>
    <w:p w:rsidR="004B1B23" w:rsidRPr="00D73E3E" w:rsidRDefault="004B1B23" w:rsidP="004B1B23">
      <w:pPr>
        <w:rPr>
          <w:rFonts w:cs="Arial"/>
        </w:rPr>
      </w:pPr>
      <w:r w:rsidRPr="00D73E3E">
        <w:rPr>
          <w:rFonts w:cs="Arial"/>
        </w:rPr>
        <w:t xml:space="preserve">In each case, OCLC </w:t>
      </w:r>
      <w:r>
        <w:rPr>
          <w:rFonts w:cs="Arial"/>
        </w:rPr>
        <w:t>Institution</w:t>
      </w:r>
      <w:r w:rsidRPr="00D73E3E">
        <w:rPr>
          <w:rFonts w:cs="Arial"/>
        </w:rPr>
        <w:t xml:space="preserve"> Symbols and location codes are applied as follows. See Appendix A for a list of OCLC Holdings Symbols for Shared Print.</w:t>
      </w:r>
    </w:p>
    <w:p w:rsidR="004B1B23" w:rsidRPr="00D73E3E" w:rsidRDefault="004B1B23" w:rsidP="004B1B23">
      <w:pPr>
        <w:rPr>
          <w:rFonts w:cs="Arial"/>
          <w:b/>
        </w:rPr>
      </w:pPr>
      <w:r w:rsidRPr="00D73E3E">
        <w:rPr>
          <w:rFonts w:cs="Arial"/>
          <w:b/>
        </w:rPr>
        <w:t xml:space="preserve">Table 2: Shared Print Scenarios, </w:t>
      </w:r>
      <w:r>
        <w:rPr>
          <w:rFonts w:cs="Arial"/>
          <w:b/>
        </w:rPr>
        <w:t>Institution</w:t>
      </w:r>
      <w:r w:rsidRPr="00D73E3E">
        <w:rPr>
          <w:rFonts w:cs="Arial"/>
          <w:b/>
        </w:rPr>
        <w:t xml:space="preserve"> Symbols and </w:t>
      </w:r>
      <w:r>
        <w:rPr>
          <w:rFonts w:cs="Arial"/>
          <w:b/>
        </w:rPr>
        <w:t xml:space="preserve">Holdings </w:t>
      </w:r>
      <w:r w:rsidRPr="00D73E3E">
        <w:rPr>
          <w:rFonts w:cs="Arial"/>
          <w:b/>
        </w:rPr>
        <w:t>Location Codes</w:t>
      </w:r>
    </w:p>
    <w:p w:rsidR="004B1B23" w:rsidRPr="00D73E3E" w:rsidRDefault="004B1B23" w:rsidP="004B1B23">
      <w:pPr>
        <w:rPr>
          <w:rFonts w:cs="Arial"/>
        </w:rPr>
      </w:pPr>
    </w:p>
    <w:tbl>
      <w:tblPr>
        <w:tblW w:w="8856" w:type="dxa"/>
        <w:tblLook w:val="00A0"/>
      </w:tblPr>
      <w:tblGrid>
        <w:gridCol w:w="2487"/>
        <w:gridCol w:w="2241"/>
        <w:gridCol w:w="2160"/>
        <w:gridCol w:w="1968"/>
      </w:tblGrid>
      <w:tr w:rsidR="004B1B23" w:rsidRPr="00D73E3E" w:rsidTr="00003236">
        <w:tc>
          <w:tcPr>
            <w:tcW w:w="2487" w:type="dxa"/>
            <w:tcBorders>
              <w:top w:val="nil"/>
              <w:left w:val="nil"/>
              <w:bottom w:val="single" w:sz="6" w:space="0" w:color="000000"/>
              <w:right w:val="single" w:sz="6" w:space="0" w:color="000000"/>
            </w:tcBorders>
            <w:shd w:val="clear" w:color="auto" w:fill="auto"/>
          </w:tcPr>
          <w:p w:rsidR="004B1B23" w:rsidRPr="00D73E3E" w:rsidRDefault="004B1B23" w:rsidP="00003236">
            <w:pPr>
              <w:rPr>
                <w:rFonts w:cs="Arial"/>
                <w:b/>
                <w:bCs/>
              </w:rPr>
            </w:pPr>
            <w:r w:rsidRPr="00D73E3E">
              <w:rPr>
                <w:rFonts w:cs="Arial"/>
                <w:b/>
                <w:bCs/>
              </w:rPr>
              <w:t>SCENARIO</w:t>
            </w:r>
          </w:p>
        </w:tc>
        <w:tc>
          <w:tcPr>
            <w:tcW w:w="2241" w:type="dxa"/>
            <w:tcBorders>
              <w:top w:val="nil"/>
              <w:left w:val="single" w:sz="6" w:space="0" w:color="000000"/>
              <w:bottom w:val="single" w:sz="6" w:space="0" w:color="000000"/>
              <w:right w:val="single" w:sz="6" w:space="0" w:color="000000"/>
            </w:tcBorders>
            <w:shd w:val="clear" w:color="auto" w:fill="auto"/>
          </w:tcPr>
          <w:p w:rsidR="004B1B23" w:rsidRPr="00D73E3E" w:rsidRDefault="004B1B23" w:rsidP="00003236">
            <w:pPr>
              <w:rPr>
                <w:rFonts w:cs="Arial"/>
                <w:b/>
                <w:bCs/>
              </w:rPr>
            </w:pPr>
            <w:r w:rsidRPr="00D73E3E">
              <w:rPr>
                <w:rFonts w:cs="Arial"/>
                <w:b/>
                <w:bCs/>
              </w:rPr>
              <w:t>OCLC SYMBOL</w:t>
            </w:r>
          </w:p>
        </w:tc>
        <w:tc>
          <w:tcPr>
            <w:tcW w:w="2160" w:type="dxa"/>
            <w:tcBorders>
              <w:top w:val="nil"/>
              <w:left w:val="single" w:sz="6" w:space="0" w:color="000000"/>
              <w:bottom w:val="single" w:sz="6" w:space="0" w:color="000000"/>
              <w:right w:val="single" w:sz="6" w:space="0" w:color="000000"/>
            </w:tcBorders>
            <w:shd w:val="clear" w:color="auto" w:fill="auto"/>
          </w:tcPr>
          <w:p w:rsidR="004B1B23" w:rsidRPr="00D73E3E" w:rsidRDefault="004B1B23" w:rsidP="00003236">
            <w:pPr>
              <w:rPr>
                <w:rFonts w:cs="Arial"/>
                <w:b/>
                <w:bCs/>
              </w:rPr>
            </w:pPr>
            <w:r>
              <w:rPr>
                <w:rFonts w:cs="Arial"/>
                <w:b/>
                <w:bCs/>
              </w:rPr>
              <w:t>HOLDINGS</w:t>
            </w:r>
            <w:r w:rsidRPr="00D73E3E">
              <w:rPr>
                <w:rFonts w:cs="Arial"/>
                <w:b/>
                <w:bCs/>
              </w:rPr>
              <w:t xml:space="preserve"> LOCATION CODE</w:t>
            </w:r>
          </w:p>
        </w:tc>
        <w:tc>
          <w:tcPr>
            <w:tcW w:w="1968" w:type="dxa"/>
            <w:tcBorders>
              <w:top w:val="nil"/>
              <w:left w:val="single" w:sz="6" w:space="0" w:color="000000"/>
              <w:bottom w:val="single" w:sz="6" w:space="0" w:color="000000"/>
              <w:right w:val="nil"/>
            </w:tcBorders>
            <w:shd w:val="clear" w:color="auto" w:fill="auto"/>
          </w:tcPr>
          <w:p w:rsidR="004B1B23" w:rsidRPr="00D73E3E" w:rsidRDefault="004B1B23" w:rsidP="00003236">
            <w:pPr>
              <w:rPr>
                <w:rFonts w:cs="Arial"/>
                <w:b/>
                <w:bCs/>
              </w:rPr>
            </w:pPr>
            <w:r w:rsidRPr="00D73E3E">
              <w:rPr>
                <w:rFonts w:cs="Arial"/>
                <w:b/>
                <w:bCs/>
              </w:rPr>
              <w:t>EXAMPLES</w:t>
            </w:r>
          </w:p>
        </w:tc>
      </w:tr>
      <w:tr w:rsidR="004B1B23" w:rsidRPr="00D73E3E" w:rsidTr="00003236">
        <w:tc>
          <w:tcPr>
            <w:tcW w:w="2487" w:type="dxa"/>
            <w:tcBorders>
              <w:top w:val="single" w:sz="6" w:space="0" w:color="000000"/>
              <w:left w:val="nil"/>
              <w:bottom w:val="single" w:sz="6" w:space="0" w:color="000000"/>
              <w:right w:val="single" w:sz="6" w:space="0" w:color="000000"/>
            </w:tcBorders>
            <w:shd w:val="clear" w:color="auto" w:fill="auto"/>
          </w:tcPr>
          <w:p w:rsidR="004B1B23" w:rsidRPr="00D73E3E" w:rsidRDefault="004B1B23" w:rsidP="00003236">
            <w:pPr>
              <w:pStyle w:val="BodyText"/>
              <w:spacing w:after="283"/>
              <w:rPr>
                <w:rFonts w:asciiTheme="minorHAnsi" w:hAnsiTheme="minorHAnsi" w:cs="Arial"/>
                <w:b/>
                <w:bCs/>
                <w:sz w:val="22"/>
                <w:szCs w:val="22"/>
              </w:rPr>
            </w:pPr>
            <w:r w:rsidRPr="00D73E3E">
              <w:rPr>
                <w:rFonts w:asciiTheme="minorHAnsi" w:hAnsiTheme="minorHAnsi" w:cs="Arial"/>
                <w:b/>
                <w:bCs/>
                <w:sz w:val="22"/>
                <w:szCs w:val="22"/>
              </w:rPr>
              <w:t>Shared Print in place</w:t>
            </w:r>
          </w:p>
        </w:tc>
        <w:tc>
          <w:tcPr>
            <w:tcW w:w="2241" w:type="dxa"/>
            <w:tcBorders>
              <w:top w:val="single" w:sz="6" w:space="0" w:color="000000"/>
              <w:left w:val="single" w:sz="6" w:space="0" w:color="000000"/>
              <w:bottom w:val="single" w:sz="6" w:space="0" w:color="000000"/>
              <w:right w:val="single" w:sz="6" w:space="0" w:color="000000"/>
            </w:tcBorders>
            <w:shd w:val="clear" w:color="auto" w:fill="auto"/>
          </w:tcPr>
          <w:p w:rsidR="004B1B23" w:rsidRPr="00D73E3E" w:rsidRDefault="004B1B23" w:rsidP="00003236">
            <w:pPr>
              <w:rPr>
                <w:rFonts w:cs="Arial"/>
              </w:rPr>
            </w:pPr>
            <w:r w:rsidRPr="00D73E3E">
              <w:rPr>
                <w:rFonts w:cs="Arial"/>
              </w:rPr>
              <w:t>Campus symbol</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4B1B23" w:rsidRPr="00D73E3E" w:rsidRDefault="004B1B23" w:rsidP="00003236">
            <w:pPr>
              <w:pStyle w:val="BodyText"/>
              <w:spacing w:after="283"/>
              <w:rPr>
                <w:rFonts w:asciiTheme="minorHAnsi" w:hAnsiTheme="minorHAnsi" w:cs="Arial"/>
                <w:sz w:val="22"/>
                <w:szCs w:val="22"/>
              </w:rPr>
            </w:pPr>
            <w:r w:rsidRPr="00D73E3E">
              <w:rPr>
                <w:rFonts w:asciiTheme="minorHAnsi" w:hAnsiTheme="minorHAnsi" w:cs="Arial"/>
                <w:sz w:val="22"/>
                <w:szCs w:val="22"/>
              </w:rPr>
              <w:t>Each campus will define code(s) and fields based on local ILS.</w:t>
            </w:r>
          </w:p>
        </w:tc>
        <w:tc>
          <w:tcPr>
            <w:tcW w:w="1968" w:type="dxa"/>
            <w:tcBorders>
              <w:top w:val="single" w:sz="6" w:space="0" w:color="000000"/>
              <w:left w:val="single" w:sz="6" w:space="0" w:color="000000"/>
              <w:bottom w:val="single" w:sz="6" w:space="0" w:color="000000"/>
              <w:right w:val="nil"/>
            </w:tcBorders>
            <w:shd w:val="clear" w:color="auto" w:fill="auto"/>
          </w:tcPr>
          <w:p w:rsidR="004B1B23" w:rsidRPr="00D73E3E" w:rsidRDefault="004B1B23" w:rsidP="00003236">
            <w:pPr>
              <w:pStyle w:val="BodyText"/>
              <w:spacing w:after="283"/>
              <w:rPr>
                <w:rFonts w:asciiTheme="minorHAnsi" w:hAnsiTheme="minorHAnsi" w:cs="Arial"/>
                <w:sz w:val="22"/>
                <w:szCs w:val="22"/>
              </w:rPr>
            </w:pPr>
            <w:r w:rsidRPr="00D73E3E">
              <w:rPr>
                <w:rFonts w:asciiTheme="minorHAnsi" w:hAnsiTheme="minorHAnsi" w:cs="Arial"/>
                <w:sz w:val="22"/>
                <w:szCs w:val="22"/>
              </w:rPr>
              <w:t xml:space="preserve">949_1 sps </w:t>
            </w:r>
          </w:p>
          <w:p w:rsidR="004B1B23" w:rsidRPr="00D73E3E" w:rsidRDefault="004B1B23" w:rsidP="00003236">
            <w:pPr>
              <w:pStyle w:val="BodyText"/>
              <w:spacing w:after="283"/>
              <w:rPr>
                <w:rFonts w:asciiTheme="minorHAnsi" w:hAnsiTheme="minorHAnsi" w:cs="Arial"/>
                <w:sz w:val="22"/>
                <w:szCs w:val="22"/>
              </w:rPr>
            </w:pPr>
            <w:r w:rsidRPr="00D73E3E">
              <w:rPr>
                <w:rFonts w:asciiTheme="minorHAnsi" w:hAnsiTheme="minorHAnsi" w:cs="Arial"/>
                <w:sz w:val="22"/>
                <w:szCs w:val="22"/>
              </w:rPr>
              <w:t>(Shared Print Springer at UC Merced identified in local ILS) + MERUC</w:t>
            </w:r>
          </w:p>
        </w:tc>
      </w:tr>
      <w:tr w:rsidR="004B1B23" w:rsidRPr="00D73E3E" w:rsidTr="00003236">
        <w:tc>
          <w:tcPr>
            <w:tcW w:w="2487" w:type="dxa"/>
            <w:tcBorders>
              <w:top w:val="single" w:sz="6" w:space="0" w:color="000000"/>
              <w:left w:val="nil"/>
              <w:bottom w:val="single" w:sz="6" w:space="0" w:color="000000"/>
              <w:right w:val="single" w:sz="6" w:space="0" w:color="000000"/>
            </w:tcBorders>
            <w:shd w:val="clear" w:color="auto" w:fill="auto"/>
          </w:tcPr>
          <w:p w:rsidR="004B1B23" w:rsidRPr="00D73E3E" w:rsidRDefault="004B1B23" w:rsidP="00003236">
            <w:pPr>
              <w:rPr>
                <w:rFonts w:cs="Arial"/>
                <w:b/>
                <w:bCs/>
              </w:rPr>
            </w:pPr>
            <w:r w:rsidRPr="00D73E3E">
              <w:rPr>
                <w:rFonts w:cs="Arial"/>
                <w:b/>
                <w:bCs/>
              </w:rPr>
              <w:t>Shared Print copies are moved from a library to an off-site shelving facility</w:t>
            </w:r>
          </w:p>
        </w:tc>
        <w:tc>
          <w:tcPr>
            <w:tcW w:w="2241" w:type="dxa"/>
            <w:tcBorders>
              <w:top w:val="single" w:sz="6" w:space="0" w:color="000000"/>
              <w:left w:val="single" w:sz="6" w:space="0" w:color="000000"/>
              <w:bottom w:val="single" w:sz="6" w:space="0" w:color="000000"/>
              <w:right w:val="single" w:sz="6" w:space="0" w:color="000000"/>
            </w:tcBorders>
            <w:shd w:val="clear" w:color="auto" w:fill="auto"/>
          </w:tcPr>
          <w:p w:rsidR="004B1B23" w:rsidRPr="00D73E3E" w:rsidRDefault="004B1B23" w:rsidP="00003236">
            <w:pPr>
              <w:rPr>
                <w:rFonts w:cs="Arial"/>
              </w:rPr>
            </w:pPr>
            <w:r w:rsidRPr="00D73E3E">
              <w:rPr>
                <w:rFonts w:cs="Arial"/>
              </w:rPr>
              <w:t xml:space="preserve">RLF Shared Print symbol + campus symbol </w:t>
            </w:r>
          </w:p>
          <w:p w:rsidR="004B1B23" w:rsidRPr="00D73E3E" w:rsidRDefault="004B1B23" w:rsidP="00003236">
            <w:pPr>
              <w:rPr>
                <w:rFonts w:cs="Arial"/>
              </w:rPr>
            </w:pPr>
          </w:p>
          <w:p w:rsidR="004B1B23" w:rsidRPr="00D73E3E" w:rsidRDefault="004B1B23" w:rsidP="00003236">
            <w:pPr>
              <w:rPr>
                <w:rFonts w:cs="Arial"/>
                <w:b/>
                <w:color w:val="339966"/>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4B1B23" w:rsidRDefault="004B1B23" w:rsidP="00003236">
            <w:pPr>
              <w:rPr>
                <w:rFonts w:cs="Arial"/>
              </w:rPr>
            </w:pPr>
            <w:r>
              <w:rPr>
                <w:rFonts w:cs="Arial"/>
              </w:rPr>
              <w:t>For the campus, not relevant</w:t>
            </w:r>
          </w:p>
          <w:p w:rsidR="004B1B23" w:rsidRPr="00D73E3E" w:rsidRDefault="004B1B23" w:rsidP="00003236">
            <w:pPr>
              <w:rPr>
                <w:rFonts w:cs="Arial"/>
              </w:rPr>
            </w:pPr>
            <w:r>
              <w:rPr>
                <w:rFonts w:cs="Arial"/>
              </w:rPr>
              <w:t>For the RLF, RLF holdings location code for shared print</w:t>
            </w:r>
          </w:p>
        </w:tc>
        <w:tc>
          <w:tcPr>
            <w:tcW w:w="1968" w:type="dxa"/>
            <w:tcBorders>
              <w:top w:val="single" w:sz="6" w:space="0" w:color="000000"/>
              <w:left w:val="single" w:sz="6" w:space="0" w:color="000000"/>
              <w:bottom w:val="single" w:sz="6" w:space="0" w:color="000000"/>
              <w:right w:val="nil"/>
            </w:tcBorders>
            <w:shd w:val="clear" w:color="auto" w:fill="auto"/>
          </w:tcPr>
          <w:p w:rsidR="004B1B23" w:rsidRPr="00D73E3E" w:rsidRDefault="004B1B23" w:rsidP="00003236">
            <w:pPr>
              <w:rPr>
                <w:rFonts w:cs="Arial"/>
              </w:rPr>
            </w:pPr>
            <w:r w:rsidRPr="00D73E3E">
              <w:rPr>
                <w:rFonts w:cs="Arial"/>
              </w:rPr>
              <w:t xml:space="preserve">CUY + </w:t>
            </w:r>
            <w:smartTag w:uri="urn:schemas-microsoft-com:office:smarttags" w:element="stockticker">
              <w:r w:rsidRPr="00D73E3E">
                <w:rPr>
                  <w:rFonts w:cs="Arial"/>
                </w:rPr>
                <w:t>ZAP</w:t>
              </w:r>
            </w:smartTag>
            <w:r w:rsidRPr="00D73E3E">
              <w:rPr>
                <w:rFonts w:cs="Arial"/>
              </w:rPr>
              <w:t>-SP</w:t>
            </w:r>
          </w:p>
          <w:p w:rsidR="004B1B23" w:rsidRPr="00D73E3E" w:rsidRDefault="004B1B23" w:rsidP="00003236">
            <w:pPr>
              <w:rPr>
                <w:rFonts w:cs="Arial"/>
              </w:rPr>
            </w:pPr>
          </w:p>
          <w:p w:rsidR="004B1B23" w:rsidRPr="00D73E3E" w:rsidRDefault="004B1B23" w:rsidP="00003236">
            <w:pPr>
              <w:rPr>
                <w:rFonts w:cs="Arial"/>
              </w:rPr>
            </w:pPr>
            <w:r w:rsidRPr="00D73E3E">
              <w:rPr>
                <w:rFonts w:cs="Arial"/>
              </w:rPr>
              <w:t>(Shared Print in Place moves from UCB to NRLF)</w:t>
            </w:r>
          </w:p>
        </w:tc>
      </w:tr>
      <w:tr w:rsidR="004B1B23" w:rsidRPr="00D73E3E" w:rsidTr="00003236">
        <w:tc>
          <w:tcPr>
            <w:tcW w:w="2487" w:type="dxa"/>
            <w:tcBorders>
              <w:top w:val="single" w:sz="6" w:space="0" w:color="000000"/>
              <w:left w:val="nil"/>
              <w:bottom w:val="nil"/>
              <w:right w:val="single" w:sz="6" w:space="0" w:color="000000"/>
            </w:tcBorders>
            <w:shd w:val="clear" w:color="auto" w:fill="auto"/>
          </w:tcPr>
          <w:p w:rsidR="004B1B23" w:rsidRPr="00D73E3E" w:rsidRDefault="004B1B23" w:rsidP="00003236">
            <w:pPr>
              <w:rPr>
                <w:rFonts w:cs="Arial"/>
                <w:b/>
                <w:bCs/>
              </w:rPr>
            </w:pPr>
            <w:r w:rsidRPr="00D73E3E">
              <w:rPr>
                <w:rFonts w:cs="Arial"/>
                <w:b/>
                <w:bCs/>
              </w:rPr>
              <w:t>Shared Print copies are acquired by a library and shipped directly from the vendor to an off-site shelving facility.</w:t>
            </w:r>
          </w:p>
        </w:tc>
        <w:tc>
          <w:tcPr>
            <w:tcW w:w="2241" w:type="dxa"/>
            <w:tcBorders>
              <w:top w:val="single" w:sz="6" w:space="0" w:color="000000"/>
              <w:left w:val="single" w:sz="6" w:space="0" w:color="000000"/>
              <w:bottom w:val="nil"/>
              <w:right w:val="single" w:sz="6" w:space="0" w:color="000000"/>
            </w:tcBorders>
            <w:shd w:val="clear" w:color="auto" w:fill="auto"/>
          </w:tcPr>
          <w:p w:rsidR="004B1B23" w:rsidRPr="00D73E3E" w:rsidRDefault="004B1B23" w:rsidP="00003236">
            <w:pPr>
              <w:rPr>
                <w:rFonts w:cs="Arial"/>
              </w:rPr>
            </w:pPr>
            <w:r w:rsidRPr="00D73E3E">
              <w:rPr>
                <w:rFonts w:cs="Arial"/>
              </w:rPr>
              <w:t xml:space="preserve">RLF Shared Print symbol + campus symbol </w:t>
            </w:r>
          </w:p>
        </w:tc>
        <w:tc>
          <w:tcPr>
            <w:tcW w:w="2160" w:type="dxa"/>
            <w:tcBorders>
              <w:top w:val="single" w:sz="6" w:space="0" w:color="000000"/>
              <w:left w:val="single" w:sz="6" w:space="0" w:color="000000"/>
              <w:bottom w:val="nil"/>
              <w:right w:val="single" w:sz="6" w:space="0" w:color="000000"/>
            </w:tcBorders>
            <w:shd w:val="clear" w:color="auto" w:fill="auto"/>
          </w:tcPr>
          <w:p w:rsidR="004B1B23" w:rsidRDefault="004B1B23" w:rsidP="00003236">
            <w:pPr>
              <w:rPr>
                <w:rFonts w:cs="Arial"/>
              </w:rPr>
            </w:pPr>
            <w:r>
              <w:rPr>
                <w:rFonts w:cs="Arial"/>
              </w:rPr>
              <w:t>For the campus, not relevant</w:t>
            </w:r>
          </w:p>
          <w:p w:rsidR="004B1B23" w:rsidRPr="00D73E3E" w:rsidRDefault="004B1B23" w:rsidP="00003236">
            <w:pPr>
              <w:rPr>
                <w:rFonts w:cs="Arial"/>
              </w:rPr>
            </w:pPr>
            <w:r>
              <w:rPr>
                <w:rFonts w:cs="Arial"/>
              </w:rPr>
              <w:t>For the RLF, RLF holdings location code for shared print</w:t>
            </w:r>
          </w:p>
        </w:tc>
        <w:tc>
          <w:tcPr>
            <w:tcW w:w="1968" w:type="dxa"/>
            <w:tcBorders>
              <w:top w:val="single" w:sz="6" w:space="0" w:color="000000"/>
              <w:left w:val="single" w:sz="6" w:space="0" w:color="000000"/>
              <w:bottom w:val="nil"/>
              <w:right w:val="nil"/>
            </w:tcBorders>
            <w:shd w:val="clear" w:color="auto" w:fill="auto"/>
          </w:tcPr>
          <w:p w:rsidR="004B1B23" w:rsidRPr="00D73E3E" w:rsidRDefault="004B1B23" w:rsidP="00003236">
            <w:pPr>
              <w:rPr>
                <w:rFonts w:cs="Arial"/>
              </w:rPr>
            </w:pPr>
            <w:smartTag w:uri="urn:schemas-microsoft-com:office:smarttags" w:element="stockticker">
              <w:r w:rsidRPr="00D73E3E">
                <w:rPr>
                  <w:rFonts w:cs="Arial"/>
                </w:rPr>
                <w:t>CLU</w:t>
              </w:r>
            </w:smartTag>
            <w:r w:rsidRPr="00D73E3E">
              <w:rPr>
                <w:rFonts w:cs="Arial"/>
              </w:rPr>
              <w:t xml:space="preserve"> + HH0</w:t>
            </w:r>
          </w:p>
          <w:p w:rsidR="004B1B23" w:rsidRPr="00D73E3E" w:rsidRDefault="004B1B23" w:rsidP="00003236">
            <w:pPr>
              <w:rPr>
                <w:rFonts w:cs="Arial"/>
              </w:rPr>
            </w:pPr>
          </w:p>
          <w:p w:rsidR="004B1B23" w:rsidRPr="00D73E3E" w:rsidRDefault="004B1B23" w:rsidP="00003236">
            <w:pPr>
              <w:rPr>
                <w:rFonts w:cs="Arial"/>
              </w:rPr>
            </w:pPr>
            <w:r w:rsidRPr="00D73E3E">
              <w:rPr>
                <w:rFonts w:cs="Arial"/>
              </w:rPr>
              <w:t>(Shared Print managed at UCLA housed at SRLF)</w:t>
            </w:r>
          </w:p>
        </w:tc>
      </w:tr>
    </w:tbl>
    <w:p w:rsidR="004B1B23" w:rsidRPr="00D73E3E" w:rsidRDefault="004B1B23" w:rsidP="004B1B23">
      <w:pPr>
        <w:ind w:left="720"/>
        <w:rPr>
          <w:rFonts w:cs="Arial"/>
        </w:rPr>
      </w:pPr>
    </w:p>
    <w:p w:rsidR="004B1B23" w:rsidRPr="00D73E3E" w:rsidRDefault="004B1B23" w:rsidP="004B1B23">
      <w:pPr>
        <w:tabs>
          <w:tab w:val="left" w:pos="5715"/>
        </w:tabs>
        <w:ind w:left="720"/>
        <w:rPr>
          <w:rFonts w:cs="Arial"/>
        </w:rPr>
      </w:pPr>
      <w:r w:rsidRPr="00D73E3E">
        <w:rPr>
          <w:rFonts w:cs="Arial"/>
        </w:rPr>
        <w:tab/>
      </w:r>
    </w:p>
    <w:p w:rsidR="004B1B23" w:rsidRPr="00D73E3E" w:rsidRDefault="004B1B23" w:rsidP="004B1B23">
      <w:pPr>
        <w:rPr>
          <w:rFonts w:cs="Arial"/>
        </w:rPr>
      </w:pPr>
      <w:r w:rsidRPr="00D73E3E">
        <w:rPr>
          <w:rFonts w:cs="Arial"/>
          <w:b/>
        </w:rPr>
        <w:t>II. Disclosure in Local Catalogs</w:t>
      </w:r>
    </w:p>
    <w:p w:rsidR="004B1B23" w:rsidRPr="00D73E3E" w:rsidRDefault="004B1B23" w:rsidP="004B1B23">
      <w:pPr>
        <w:rPr>
          <w:rFonts w:cs="Arial"/>
        </w:rPr>
      </w:pPr>
      <w:r w:rsidRPr="00D73E3E">
        <w:rPr>
          <w:rFonts w:cs="Arial"/>
        </w:rPr>
        <w:t xml:space="preserve">The managing library may elect to include Shared Print bibliographic records in the local OPAC and ILS. However, records are not distributed to other local OPACs or ILSs. </w:t>
      </w:r>
    </w:p>
    <w:p w:rsidR="004B1B23" w:rsidRPr="00D73E3E" w:rsidRDefault="004B1B23" w:rsidP="004B1B23">
      <w:pPr>
        <w:spacing w:before="100" w:beforeAutospacing="1" w:after="100" w:afterAutospacing="1"/>
        <w:rPr>
          <w:rFonts w:cs="Arial"/>
          <w:b/>
          <w:bCs/>
        </w:rPr>
      </w:pPr>
      <w:smartTag w:uri="urn:schemas-microsoft-com:office:smarttags" w:element="stockticker">
        <w:r w:rsidRPr="00D73E3E">
          <w:rPr>
            <w:rFonts w:cs="Arial"/>
            <w:b/>
            <w:bCs/>
          </w:rPr>
          <w:t>III</w:t>
        </w:r>
      </w:smartTag>
      <w:r w:rsidRPr="00D73E3E">
        <w:rPr>
          <w:rFonts w:cs="Arial"/>
          <w:b/>
          <w:bCs/>
        </w:rPr>
        <w:t>. Services from Third Parties/Vendors</w:t>
      </w:r>
    </w:p>
    <w:p w:rsidR="004B1B23" w:rsidRPr="00D73E3E" w:rsidRDefault="004B1B23" w:rsidP="004B1B23">
      <w:pPr>
        <w:spacing w:before="100" w:beforeAutospacing="1" w:after="100" w:afterAutospacing="1"/>
      </w:pPr>
      <w:r w:rsidRPr="00D73E3E">
        <w:rPr>
          <w:rFonts w:cs="Arial"/>
          <w:bCs/>
        </w:rPr>
        <w:t xml:space="preserve">The Libraries value and prefer vendor supplied records and shelf ready services. This section describes the requirements for third-party supplied records and the process for supplying records.  </w:t>
      </w:r>
    </w:p>
    <w:p w:rsidR="004B1B23" w:rsidRPr="00D73E3E" w:rsidRDefault="004B1B23" w:rsidP="004B1B23">
      <w:pPr>
        <w:spacing w:before="100" w:beforeAutospacing="1" w:after="100" w:afterAutospacing="1"/>
        <w:rPr>
          <w:rFonts w:cs="Arial"/>
          <w:b/>
        </w:rPr>
      </w:pPr>
      <w:r w:rsidRPr="00D73E3E">
        <w:rPr>
          <w:rFonts w:cs="Arial"/>
          <w:b/>
        </w:rPr>
        <w:t>a. Bibliographic Elements</w:t>
      </w:r>
    </w:p>
    <w:p w:rsidR="004B1B23" w:rsidRPr="00D73E3E" w:rsidRDefault="004B1B23" w:rsidP="004B1B23">
      <w:pPr>
        <w:spacing w:before="100" w:beforeAutospacing="1" w:after="100" w:afterAutospacing="1"/>
        <w:rPr>
          <w:rFonts w:cs="Arial"/>
        </w:rPr>
      </w:pPr>
      <w:r w:rsidRPr="00D73E3E">
        <w:rPr>
          <w:rFonts w:cs="Arial"/>
        </w:rPr>
        <w:t>Third parties/vendors will supply the best available OCLC MARC21 monographic record at time of shipment.  The record must include a Library of Cong</w:t>
      </w:r>
      <w:r>
        <w:rPr>
          <w:rFonts w:cs="Arial"/>
        </w:rPr>
        <w:t>ress Classification call number as well as</w:t>
      </w:r>
      <w:r w:rsidRPr="00D73E3E">
        <w:rPr>
          <w:rFonts w:cs="Arial"/>
        </w:rPr>
        <w:t xml:space="preserve"> the special bibliographic elements for Shared Print outlined in Section 1. Subject analysis is preferred. Each record must include an OCLC number as a match point to overlay acquisitions/cataloging data. In the case where no OCLC record exists or the record does not meet the above outlined standards, the managing campus may create original catalog records or arrange for a  third party/vendor to supply them according to the standards. Bibliographic record maintenance is the responsibility of the managing campus. </w:t>
      </w:r>
    </w:p>
    <w:p w:rsidR="004B1B23" w:rsidRPr="00D73E3E" w:rsidRDefault="004B1B23" w:rsidP="004B1B23">
      <w:pPr>
        <w:spacing w:before="100" w:beforeAutospacing="1" w:after="100" w:afterAutospacing="1"/>
        <w:rPr>
          <w:rFonts w:cs="Arial"/>
        </w:rPr>
      </w:pPr>
      <w:r w:rsidRPr="00D73E3E">
        <w:rPr>
          <w:rFonts w:cs="Arial"/>
        </w:rPr>
        <w:t>Though authority work is not required for shared print monographs, the managing campus will need to publicly disclose whether they are (or are not) handling authority work. Name and subject authority records are encouraged. It is assumed the managing campus staff will manage the process of sending and/or receiving records with a vendor, if outsourced (e.g. Backstage Library Works)</w:t>
      </w:r>
    </w:p>
    <w:p w:rsidR="004B1B23" w:rsidRPr="00D73E3E" w:rsidRDefault="004B1B23" w:rsidP="004B1B23">
      <w:pPr>
        <w:spacing w:before="100" w:beforeAutospacing="1" w:after="100" w:afterAutospacing="1"/>
        <w:rPr>
          <w:rFonts w:cs="Arial"/>
          <w:b/>
        </w:rPr>
      </w:pPr>
      <w:r w:rsidRPr="00D73E3E">
        <w:rPr>
          <w:rFonts w:cs="Arial"/>
          <w:b/>
        </w:rPr>
        <w:t>b. Process for supplying records and including records in catalogs</w:t>
      </w:r>
    </w:p>
    <w:p w:rsidR="004B1B23" w:rsidRPr="00D73E3E" w:rsidRDefault="004B1B23" w:rsidP="004B1B23">
      <w:pPr>
        <w:spacing w:before="100" w:beforeAutospacing="1" w:after="100" w:afterAutospacing="1"/>
        <w:rPr>
          <w:rFonts w:cs="Arial"/>
        </w:rPr>
      </w:pPr>
      <w:r w:rsidRPr="00D73E3E">
        <w:rPr>
          <w:rFonts w:cs="Arial"/>
        </w:rPr>
        <w:t xml:space="preserve">Bibliographic records are supplied to either the library that receives the physical items or to an RLF (shelf ready). The method of getting records into union catalogs may vary based on each book vendor’s capabilities. UC Libraries prefer vendors that have the capacity to supply records directly to OCLC. The library that acquires the shared print monographs is responsible for making arrangements with the vendor. </w:t>
      </w:r>
    </w:p>
    <w:p w:rsidR="004B1B23" w:rsidRPr="00D73E3E" w:rsidRDefault="004B1B23" w:rsidP="004B1B23">
      <w:pPr>
        <w:spacing w:before="100" w:beforeAutospacing="1" w:after="100" w:afterAutospacing="1"/>
        <w:rPr>
          <w:rFonts w:cs="Arial"/>
        </w:rPr>
      </w:pPr>
      <w:r w:rsidRPr="00D73E3E">
        <w:rPr>
          <w:rFonts w:cs="Arial"/>
        </w:rPr>
        <w:t>The following scenarios are possible:</w:t>
      </w:r>
    </w:p>
    <w:p w:rsidR="004B1B23" w:rsidRPr="00C95942" w:rsidRDefault="004B1B23" w:rsidP="004B1B23">
      <w:pPr>
        <w:spacing w:before="100" w:beforeAutospacing="1" w:after="100" w:afterAutospacing="1"/>
        <w:ind w:left="720"/>
      </w:pPr>
      <w:r w:rsidRPr="00C95942">
        <w:rPr>
          <w:rFonts w:cs="Arial"/>
          <w:b/>
        </w:rPr>
        <w:t>i</w:t>
      </w:r>
      <w:r w:rsidRPr="00C95942">
        <w:rPr>
          <w:rFonts w:cs="Arial"/>
          <w:b/>
          <w:color w:val="339966"/>
        </w:rPr>
        <w:t xml:space="preserve">. </w:t>
      </w:r>
      <w:r w:rsidRPr="00C95942">
        <w:rPr>
          <w:rFonts w:cs="Arial"/>
          <w:b/>
        </w:rPr>
        <w:t xml:space="preserve">The vendor ships the items </w:t>
      </w:r>
      <w:r w:rsidRPr="00C95942">
        <w:rPr>
          <w:rFonts w:cs="Arial"/>
          <w:b/>
          <w:i/>
        </w:rPr>
        <w:t>and</w:t>
      </w:r>
      <w:r w:rsidRPr="00C95942">
        <w:rPr>
          <w:rFonts w:cs="Arial"/>
          <w:b/>
        </w:rPr>
        <w:t xml:space="preserve"> supplies catalog records to the managing libraries. Some are kept on site as Shared Print in Place and some are sent to an RLF. The Libraries load the records into the union catalog</w:t>
      </w:r>
      <w:r w:rsidRPr="00C95942">
        <w:rPr>
          <w:rFonts w:cs="Arial"/>
        </w:rPr>
        <w:t xml:space="preserve">. </w:t>
      </w:r>
    </w:p>
    <w:p w:rsidR="004B1B23" w:rsidRPr="00C95942" w:rsidRDefault="004B1B23" w:rsidP="004B1B23">
      <w:pPr>
        <w:numPr>
          <w:ilvl w:val="0"/>
          <w:numId w:val="5"/>
        </w:numPr>
        <w:spacing w:before="100" w:beforeAutospacing="1" w:after="100" w:afterAutospacing="1" w:line="240" w:lineRule="auto"/>
        <w:rPr>
          <w:rFonts w:cs="Arial"/>
        </w:rPr>
      </w:pPr>
      <w:r w:rsidRPr="00C95942">
        <w:rPr>
          <w:rFonts w:cs="Arial"/>
        </w:rPr>
        <w:lastRenderedPageBreak/>
        <w:t xml:space="preserve">The vendor ships items including physical processing (i.e. spine label, property stamps, barcode, security tape, shared print markings) to the library(ies). </w:t>
      </w:r>
    </w:p>
    <w:p w:rsidR="004B1B23" w:rsidRPr="00C95942" w:rsidRDefault="004B1B23" w:rsidP="004B1B23">
      <w:pPr>
        <w:numPr>
          <w:ilvl w:val="0"/>
          <w:numId w:val="5"/>
        </w:numPr>
        <w:spacing w:before="100" w:beforeAutospacing="1" w:after="100" w:afterAutospacing="1" w:line="240" w:lineRule="auto"/>
        <w:rPr>
          <w:rFonts w:cs="Arial"/>
        </w:rPr>
      </w:pPr>
      <w:r w:rsidRPr="00C95942">
        <w:rPr>
          <w:rFonts w:cs="Arial"/>
        </w:rPr>
        <w:t>Library staff check in the items.</w:t>
      </w:r>
    </w:p>
    <w:p w:rsidR="004B1B23" w:rsidRPr="00C95942" w:rsidRDefault="004B1B23" w:rsidP="004B1B23">
      <w:pPr>
        <w:pStyle w:val="msolistparagraph0"/>
        <w:numPr>
          <w:ilvl w:val="0"/>
          <w:numId w:val="5"/>
        </w:numPr>
        <w:rPr>
          <w:rFonts w:asciiTheme="minorHAnsi" w:hAnsiTheme="minorHAnsi" w:cs="Arial"/>
          <w:sz w:val="22"/>
          <w:szCs w:val="22"/>
        </w:rPr>
      </w:pPr>
      <w:r w:rsidRPr="00C95942">
        <w:rPr>
          <w:rFonts w:asciiTheme="minorHAnsi" w:hAnsiTheme="minorHAnsi" w:cs="Arial"/>
          <w:sz w:val="22"/>
          <w:szCs w:val="22"/>
        </w:rPr>
        <w:t>The campus(es) that is responsible for the acquisitions control is responsible for the catalog records (i.e., ensuring quality, completeness of cataloging, shared print disclosure), getting the records into the union catalog, setting holdings and loading records into local campus ILS.</w:t>
      </w:r>
    </w:p>
    <w:p w:rsidR="004B1B23" w:rsidRPr="00C95942" w:rsidRDefault="004B1B23" w:rsidP="004B1B23">
      <w:pPr>
        <w:spacing w:before="100" w:beforeAutospacing="1" w:after="100" w:afterAutospacing="1"/>
        <w:ind w:left="720"/>
        <w:rPr>
          <w:rFonts w:cs="Arial"/>
          <w:b/>
          <w:color w:val="339966"/>
        </w:rPr>
      </w:pPr>
      <w:r w:rsidRPr="00C95942">
        <w:rPr>
          <w:rFonts w:cs="Arial"/>
          <w:b/>
        </w:rPr>
        <w:t>ii. The vendor ships items but does not supply catalog records to the managing libraries. Some are kept on site as Shared Print in Place and some are sent to an RLF. The libraries supply catalog records to the union catalog.</w:t>
      </w:r>
    </w:p>
    <w:p w:rsidR="004B1B23" w:rsidRPr="00C95942" w:rsidRDefault="004B1B23" w:rsidP="004B1B23">
      <w:pPr>
        <w:numPr>
          <w:ilvl w:val="0"/>
          <w:numId w:val="5"/>
        </w:numPr>
        <w:spacing w:before="100" w:beforeAutospacing="1" w:after="100" w:afterAutospacing="1" w:line="240" w:lineRule="auto"/>
        <w:rPr>
          <w:rFonts w:cs="Arial"/>
        </w:rPr>
      </w:pPr>
      <w:r w:rsidRPr="00C95942">
        <w:rPr>
          <w:rFonts w:cs="Arial"/>
        </w:rPr>
        <w:t xml:space="preserve">The vendor ships items including physical processing (i.e. spine label, property stamps, barcode,  security tape, shared print markings) to the library(ies). </w:t>
      </w:r>
    </w:p>
    <w:p w:rsidR="004B1B23" w:rsidRPr="00C95942" w:rsidRDefault="004B1B23" w:rsidP="004B1B23">
      <w:pPr>
        <w:numPr>
          <w:ilvl w:val="0"/>
          <w:numId w:val="5"/>
        </w:numPr>
        <w:spacing w:before="100" w:beforeAutospacing="1" w:after="100" w:afterAutospacing="1" w:line="240" w:lineRule="auto"/>
        <w:rPr>
          <w:rFonts w:cs="Arial"/>
        </w:rPr>
      </w:pPr>
      <w:r w:rsidRPr="00C95942">
        <w:rPr>
          <w:rFonts w:cs="Arial"/>
        </w:rPr>
        <w:t xml:space="preserve">Library staff check in the items. </w:t>
      </w:r>
    </w:p>
    <w:p w:rsidR="004B1B23" w:rsidRPr="00C95942" w:rsidRDefault="004B1B23" w:rsidP="004B1B23">
      <w:pPr>
        <w:numPr>
          <w:ilvl w:val="0"/>
          <w:numId w:val="5"/>
        </w:numPr>
        <w:spacing w:before="100" w:beforeAutospacing="1" w:after="100" w:afterAutospacing="1" w:line="240" w:lineRule="auto"/>
        <w:rPr>
          <w:rFonts w:cs="Arial"/>
        </w:rPr>
      </w:pPr>
      <w:r w:rsidRPr="00C95942">
        <w:rPr>
          <w:rFonts w:cs="Arial"/>
        </w:rPr>
        <w:t>Library staff catalog the items for Shared Print in Place or for storage in RLF, as appropriate.</w:t>
      </w:r>
    </w:p>
    <w:p w:rsidR="004B1B23" w:rsidRPr="00D73E3E" w:rsidRDefault="004B1B23" w:rsidP="004B1B23">
      <w:pPr>
        <w:spacing w:before="100" w:beforeAutospacing="1" w:after="100" w:afterAutospacing="1"/>
        <w:rPr>
          <w:rFonts w:cs="Arial"/>
          <w:b/>
          <w:bCs/>
        </w:rPr>
      </w:pPr>
      <w:r w:rsidRPr="00D73E3E">
        <w:rPr>
          <w:rFonts w:cs="Arial"/>
          <w:b/>
          <w:bCs/>
        </w:rPr>
        <w:t>IV. Enhanced Services</w:t>
      </w:r>
    </w:p>
    <w:p w:rsidR="004B1B23" w:rsidRPr="00D73E3E" w:rsidRDefault="004B1B23" w:rsidP="004B1B23">
      <w:pPr>
        <w:spacing w:before="100" w:beforeAutospacing="1" w:after="100" w:afterAutospacing="1"/>
        <w:rPr>
          <w:rFonts w:cs="Arial"/>
          <w:bCs/>
        </w:rPr>
      </w:pPr>
      <w:r w:rsidRPr="00D73E3E">
        <w:rPr>
          <w:rFonts w:cs="Arial"/>
          <w:bCs/>
        </w:rPr>
        <w:t>The Libraries value the efforts of researchers and others to enhance descriptive records with additional metadata. Records supplied by vendors and third parties must be supplied free of restrictions on future use and enhancement.</w:t>
      </w:r>
    </w:p>
    <w:p w:rsidR="004B1B23" w:rsidRPr="00D73E3E" w:rsidRDefault="004B1B23" w:rsidP="004B1B23">
      <w:pPr>
        <w:spacing w:before="100" w:beforeAutospacing="1" w:after="100" w:afterAutospacing="1"/>
        <w:rPr>
          <w:rFonts w:cs="Arial"/>
          <w:b/>
          <w:bCs/>
        </w:rPr>
      </w:pPr>
      <w:r w:rsidRPr="00D73E3E">
        <w:rPr>
          <w:rFonts w:cs="Arial"/>
          <w:b/>
          <w:bCs/>
        </w:rPr>
        <w:t>V. Prioritization and Timing of Records</w:t>
      </w:r>
    </w:p>
    <w:p w:rsidR="004B1B23" w:rsidRPr="00D73E3E" w:rsidRDefault="004B1B23" w:rsidP="004B1B23">
      <w:pPr>
        <w:spacing w:before="100" w:beforeAutospacing="1" w:after="100" w:afterAutospacing="1"/>
        <w:rPr>
          <w:rFonts w:cs="Arial"/>
          <w:bCs/>
        </w:rPr>
      </w:pPr>
      <w:r w:rsidRPr="00D73E3E">
        <w:rPr>
          <w:rFonts w:cs="Arial"/>
          <w:bCs/>
        </w:rPr>
        <w:t>Because other libraries depend upon the shared print collections when making purchasing decisions, cataloging effort for Shared Print monographs takes priority over cataloging efforts for all other standard monograph cataloging.</w:t>
      </w:r>
    </w:p>
    <w:p w:rsidR="004B1B23" w:rsidRPr="00D73E3E" w:rsidRDefault="004B1B23" w:rsidP="004B1B23">
      <w:pPr>
        <w:spacing w:before="100" w:beforeAutospacing="1" w:after="100" w:afterAutospacing="1"/>
        <w:rPr>
          <w:rFonts w:cs="Arial"/>
          <w:bCs/>
        </w:rPr>
      </w:pPr>
      <w:r w:rsidRPr="00D73E3E">
        <w:rPr>
          <w:rFonts w:cs="Arial"/>
          <w:bCs/>
        </w:rPr>
        <w:t>Shared Print monographs in Area Studies must be cataloged and disclosed in union catalogs within 3 months of receipt.</w:t>
      </w:r>
    </w:p>
    <w:p w:rsidR="004B1B23" w:rsidRDefault="004B1B23" w:rsidP="004B1B23">
      <w:pPr>
        <w:spacing w:before="100" w:beforeAutospacing="1" w:after="100" w:afterAutospacing="1"/>
        <w:rPr>
          <w:rFonts w:cs="Arial"/>
          <w:bCs/>
        </w:rPr>
      </w:pPr>
      <w:r w:rsidRPr="00D73E3E">
        <w:rPr>
          <w:rFonts w:cs="Arial"/>
          <w:bCs/>
        </w:rPr>
        <w:t xml:space="preserve">Shared Print monographs supplied by a primary monograph vendor must be cataloged and disclosed in union catalogs within one month of receipt. </w:t>
      </w:r>
    </w:p>
    <w:p w:rsidR="004B1B23" w:rsidRDefault="004B1B23" w:rsidP="004B1B23">
      <w:pPr>
        <w:spacing w:before="100" w:beforeAutospacing="1" w:after="100" w:afterAutospacing="1"/>
      </w:pPr>
    </w:p>
    <w:p w:rsidR="004B1B23" w:rsidRDefault="004B1B23" w:rsidP="004B1B23">
      <w:pPr>
        <w:spacing w:before="100" w:beforeAutospacing="1" w:after="100" w:afterAutospacing="1"/>
        <w:sectPr w:rsidR="004B1B23" w:rsidSect="000032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4B1B23" w:rsidRPr="00D73E3E" w:rsidRDefault="004B1B23" w:rsidP="004B1B23">
      <w:pPr>
        <w:spacing w:before="100" w:beforeAutospacing="1" w:after="100" w:afterAutospacing="1"/>
        <w:rPr>
          <w:rFonts w:cs="Arial"/>
          <w:b/>
          <w:bCs/>
        </w:rPr>
      </w:pPr>
      <w:r w:rsidRPr="00D73E3E">
        <w:rPr>
          <w:rFonts w:cs="Arial"/>
          <w:b/>
          <w:bCs/>
        </w:rPr>
        <w:lastRenderedPageBreak/>
        <w:t xml:space="preserve">Appendix A: OCLC </w:t>
      </w:r>
      <w:r>
        <w:rPr>
          <w:rFonts w:cs="Arial"/>
          <w:b/>
          <w:bCs/>
        </w:rPr>
        <w:t>Institution</w:t>
      </w:r>
      <w:r w:rsidRPr="00D73E3E">
        <w:rPr>
          <w:rFonts w:cs="Arial"/>
          <w:b/>
          <w:bCs/>
        </w:rPr>
        <w:t xml:space="preserve"> symbols, including Shared Print</w:t>
      </w:r>
    </w:p>
    <w:tbl>
      <w:tblPr>
        <w:tblW w:w="10917" w:type="dxa"/>
        <w:tblInd w:w="108" w:type="dxa"/>
        <w:tblLook w:val="04A0"/>
      </w:tblPr>
      <w:tblGrid>
        <w:gridCol w:w="1391"/>
        <w:gridCol w:w="4450"/>
        <w:gridCol w:w="1873"/>
        <w:gridCol w:w="331"/>
        <w:gridCol w:w="1711"/>
        <w:gridCol w:w="1161"/>
      </w:tblGrid>
      <w:tr w:rsidR="004B1B23" w:rsidRPr="00D73E3E" w:rsidTr="00003236">
        <w:trPr>
          <w:trHeight w:val="702"/>
          <w:tblHeader/>
        </w:trPr>
        <w:tc>
          <w:tcPr>
            <w:tcW w:w="1391" w:type="dxa"/>
            <w:tcBorders>
              <w:top w:val="nil"/>
              <w:left w:val="nil"/>
              <w:bottom w:val="nil"/>
              <w:right w:val="nil"/>
            </w:tcBorders>
            <w:shd w:val="clear" w:color="auto" w:fill="auto"/>
            <w:noWrap/>
            <w:vAlign w:val="bottom"/>
            <w:hideMark/>
          </w:tcPr>
          <w:p w:rsidR="004B1B23" w:rsidRPr="00D73E3E" w:rsidRDefault="004B1B23" w:rsidP="0000323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7625" cy="47625"/>
                  <wp:effectExtent l="19050" t="0" r="9525" b="0"/>
                  <wp:wrapNone/>
                  <wp:docPr id="11" name="Picture 2"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pic:cNvPicPr>
                            <a:picLocks noChangeAspect="1" noChangeArrowheads="1"/>
                          </pic:cNvPicPr>
                        </pic:nvPicPr>
                        <pic:blipFill>
                          <a:blip r:embed="rId14" cstate="print"/>
                          <a:srcRect/>
                          <a:stretch>
                            <a:fillRect/>
                          </a:stretch>
                        </pic:blipFill>
                        <pic:spPr bwMode="auto">
                          <a:xfrm>
                            <a:off x="0" y="0"/>
                            <a:ext cx="47625" cy="47625"/>
                          </a:xfrm>
                          <a:prstGeom prst="rect">
                            <a:avLst/>
                          </a:prstGeom>
                          <a:noFill/>
                        </pic:spPr>
                      </pic:pic>
                    </a:graphicData>
                  </a:graphic>
                </wp:anchor>
              </w:drawing>
            </w:r>
          </w:p>
          <w:tbl>
            <w:tblPr>
              <w:tblW w:w="5000" w:type="pct"/>
              <w:tblCellSpacing w:w="0" w:type="dxa"/>
              <w:tblCellMar>
                <w:left w:w="0" w:type="dxa"/>
                <w:right w:w="0" w:type="dxa"/>
              </w:tblCellMar>
              <w:tblLook w:val="04A0"/>
            </w:tblPr>
            <w:tblGrid>
              <w:gridCol w:w="1175"/>
            </w:tblGrid>
            <w:tr w:rsidR="004B1B23" w:rsidRPr="00D73E3E" w:rsidTr="00003236">
              <w:trPr>
                <w:trHeight w:val="1290"/>
                <w:tblCellSpacing w:w="0" w:type="dxa"/>
              </w:trPr>
              <w:tc>
                <w:tcPr>
                  <w:tcW w:w="5000" w:type="pct"/>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b/>
                      <w:bCs/>
                      <w:sz w:val="20"/>
                      <w:szCs w:val="20"/>
                    </w:rPr>
                  </w:pPr>
                  <w:r w:rsidRPr="00D73E3E">
                    <w:rPr>
                      <w:rFonts w:eastAsia="Times New Roman" w:cs="Arial"/>
                      <w:b/>
                      <w:bCs/>
                      <w:sz w:val="20"/>
                      <w:szCs w:val="20"/>
                    </w:rPr>
                    <w:t>Institution Symbol</w:t>
                  </w:r>
                </w:p>
              </w:tc>
            </w:tr>
          </w:tbl>
          <w:p w:rsidR="004B1B23" w:rsidRPr="00D73E3E" w:rsidRDefault="004B1B23" w:rsidP="00003236">
            <w:pPr>
              <w:spacing w:after="0" w:line="240" w:lineRule="auto"/>
              <w:rPr>
                <w:rFonts w:ascii="Arial" w:eastAsia="Times New Roman" w:hAnsi="Arial" w:cs="Arial"/>
                <w:sz w:val="20"/>
                <w:szCs w:val="20"/>
              </w:rPr>
            </w:pPr>
          </w:p>
        </w:tc>
        <w:tc>
          <w:tcPr>
            <w:tcW w:w="4450"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b/>
                <w:bCs/>
                <w:sz w:val="20"/>
                <w:szCs w:val="20"/>
              </w:rPr>
            </w:pPr>
            <w:r w:rsidRPr="00D73E3E">
              <w:rPr>
                <w:rFonts w:eastAsia="Times New Roman" w:cs="Arial"/>
                <w:b/>
                <w:bCs/>
                <w:sz w:val="20"/>
                <w:szCs w:val="20"/>
              </w:rPr>
              <w:t>Institution name</w:t>
            </w:r>
          </w:p>
        </w:tc>
        <w:tc>
          <w:tcPr>
            <w:tcW w:w="1873"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b/>
                <w:bCs/>
                <w:sz w:val="20"/>
                <w:szCs w:val="20"/>
              </w:rPr>
            </w:pPr>
            <w:r w:rsidRPr="00D73E3E">
              <w:rPr>
                <w:rFonts w:eastAsia="Times New Roman" w:cs="Arial"/>
                <w:b/>
                <w:bCs/>
                <w:sz w:val="20"/>
                <w:szCs w:val="20"/>
              </w:rPr>
              <w:t>Campus</w:t>
            </w:r>
          </w:p>
        </w:tc>
        <w:tc>
          <w:tcPr>
            <w:tcW w:w="331"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rPr>
            </w:pPr>
          </w:p>
        </w:tc>
        <w:tc>
          <w:tcPr>
            <w:tcW w:w="1711"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b/>
                <w:bCs/>
                <w:sz w:val="20"/>
                <w:szCs w:val="20"/>
              </w:rPr>
            </w:pPr>
            <w:r w:rsidRPr="00D73E3E">
              <w:rPr>
                <w:rFonts w:eastAsia="Times New Roman" w:cs="Arial"/>
                <w:b/>
                <w:bCs/>
                <w:sz w:val="20"/>
                <w:szCs w:val="20"/>
              </w:rPr>
              <w:t>ILL Supplier/Non-Supplier</w:t>
            </w:r>
          </w:p>
        </w:tc>
        <w:tc>
          <w:tcPr>
            <w:tcW w:w="1161"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b/>
                <w:bCs/>
                <w:sz w:val="20"/>
                <w:szCs w:val="20"/>
              </w:rPr>
            </w:pPr>
            <w:r w:rsidRPr="00D73E3E">
              <w:rPr>
                <w:rFonts w:eastAsia="Times New Roman" w:cs="Arial"/>
                <w:b/>
                <w:bCs/>
                <w:sz w:val="20"/>
                <w:szCs w:val="20"/>
              </w:rPr>
              <w:t>SP Distinct Campus Location Code</w:t>
            </w:r>
          </w:p>
        </w:tc>
      </w:tr>
      <w:tr w:rsidR="004B1B23" w:rsidRPr="00D73E3E" w:rsidTr="00003236">
        <w:trPr>
          <w:trHeight w:val="300"/>
        </w:trPr>
        <w:tc>
          <w:tcPr>
            <w:tcW w:w="139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CUY</w:t>
            </w:r>
          </w:p>
        </w:tc>
        <w:tc>
          <w:tcPr>
            <w:tcW w:w="4450"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xml:space="preserve">University of California, Berkeley (includes RQE and RQK) </w:t>
            </w:r>
          </w:p>
        </w:tc>
        <w:tc>
          <w:tcPr>
            <w:tcW w:w="1873"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Berkeley</w:t>
            </w:r>
          </w:p>
        </w:tc>
        <w:tc>
          <w:tcPr>
            <w:tcW w:w="33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BOL</w:t>
            </w:r>
          </w:p>
        </w:tc>
        <w:tc>
          <w:tcPr>
            <w:tcW w:w="4450"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UCB Law School</w:t>
            </w:r>
          </w:p>
        </w:tc>
        <w:tc>
          <w:tcPr>
            <w:tcW w:w="1873"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Berkeley</w:t>
            </w:r>
          </w:p>
        </w:tc>
        <w:tc>
          <w:tcPr>
            <w:tcW w:w="33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255"/>
        </w:trPr>
        <w:tc>
          <w:tcPr>
            <w:tcW w:w="139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CBG</w:t>
            </w:r>
          </w:p>
        </w:tc>
        <w:tc>
          <w:tcPr>
            <w:tcW w:w="4450"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UCB Institute of Govt Studies</w:t>
            </w:r>
          </w:p>
        </w:tc>
        <w:tc>
          <w:tcPr>
            <w:tcW w:w="1873"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Berkeley</w:t>
            </w:r>
          </w:p>
        </w:tc>
        <w:tc>
          <w:tcPr>
            <w:tcW w:w="33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255"/>
        </w:trPr>
        <w:tc>
          <w:tcPr>
            <w:tcW w:w="139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CBT</w:t>
            </w:r>
          </w:p>
        </w:tc>
        <w:tc>
          <w:tcPr>
            <w:tcW w:w="4450"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UCB Institute of Transportation</w:t>
            </w:r>
          </w:p>
        </w:tc>
        <w:tc>
          <w:tcPr>
            <w:tcW w:w="1873"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Berkeley</w:t>
            </w:r>
          </w:p>
        </w:tc>
        <w:tc>
          <w:tcPr>
            <w:tcW w:w="33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WCA</w:t>
            </w:r>
          </w:p>
        </w:tc>
        <w:tc>
          <w:tcPr>
            <w:tcW w:w="4450"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UCB Water Resources Center Archives</w:t>
            </w:r>
          </w:p>
        </w:tc>
        <w:tc>
          <w:tcPr>
            <w:tcW w:w="1873"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Berkeley</w:t>
            </w:r>
          </w:p>
        </w:tc>
        <w:tc>
          <w:tcPr>
            <w:tcW w:w="33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CUYER</w:t>
            </w:r>
          </w:p>
        </w:tc>
        <w:tc>
          <w:tcPr>
            <w:tcW w:w="4450"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UCB</w:t>
            </w:r>
          </w:p>
        </w:tc>
        <w:tc>
          <w:tcPr>
            <w:tcW w:w="1873" w:type="dxa"/>
            <w:tcBorders>
              <w:top w:val="nil"/>
              <w:left w:val="nil"/>
              <w:bottom w:val="nil"/>
              <w:right w:val="nil"/>
            </w:tcBorders>
            <w:shd w:val="clear" w:color="000000" w:fill="FFCC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Berkeley</w:t>
            </w:r>
          </w:p>
        </w:tc>
        <w:tc>
          <w:tcPr>
            <w:tcW w:w="33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FFCC99"/>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CUV</w:t>
            </w:r>
          </w:p>
        </w:tc>
        <w:tc>
          <w:tcPr>
            <w:tcW w:w="4450"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Davis General Library</w:t>
            </w:r>
          </w:p>
        </w:tc>
        <w:tc>
          <w:tcPr>
            <w:tcW w:w="1873"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Davis</w:t>
            </w:r>
          </w:p>
        </w:tc>
        <w:tc>
          <w:tcPr>
            <w:tcW w:w="33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CUVER</w:t>
            </w:r>
          </w:p>
        </w:tc>
        <w:tc>
          <w:tcPr>
            <w:tcW w:w="4450"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UCD</w:t>
            </w:r>
          </w:p>
        </w:tc>
        <w:tc>
          <w:tcPr>
            <w:tcW w:w="1873"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Davis</w:t>
            </w:r>
          </w:p>
        </w:tc>
        <w:tc>
          <w:tcPr>
            <w:tcW w:w="33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UCDLL</w:t>
            </w:r>
          </w:p>
        </w:tc>
        <w:tc>
          <w:tcPr>
            <w:tcW w:w="4450"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UCD Mabie Law Library</w:t>
            </w:r>
          </w:p>
        </w:tc>
        <w:tc>
          <w:tcPr>
            <w:tcW w:w="1873"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Davis</w:t>
            </w:r>
          </w:p>
        </w:tc>
        <w:tc>
          <w:tcPr>
            <w:tcW w:w="33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CUX</w:t>
            </w:r>
          </w:p>
        </w:tc>
        <w:tc>
          <w:tcPr>
            <w:tcW w:w="4450"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UCD Health Sciences Library</w:t>
            </w:r>
          </w:p>
        </w:tc>
        <w:tc>
          <w:tcPr>
            <w:tcW w:w="1873" w:type="dxa"/>
            <w:tcBorders>
              <w:top w:val="nil"/>
              <w:left w:val="nil"/>
              <w:bottom w:val="nil"/>
              <w:right w:val="nil"/>
            </w:tcBorders>
            <w:shd w:val="clear" w:color="000000" w:fill="CCFF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Davis</w:t>
            </w:r>
          </w:p>
        </w:tc>
        <w:tc>
          <w:tcPr>
            <w:tcW w:w="33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CCFF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285"/>
        </w:trPr>
        <w:tc>
          <w:tcPr>
            <w:tcW w:w="1391"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CUI</w:t>
            </w:r>
          </w:p>
        </w:tc>
        <w:tc>
          <w:tcPr>
            <w:tcW w:w="4450"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Irvine (includes CIM and WB1 materials?)</w:t>
            </w:r>
          </w:p>
        </w:tc>
        <w:tc>
          <w:tcPr>
            <w:tcW w:w="1873"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Irvine</w:t>
            </w:r>
          </w:p>
        </w:tc>
        <w:tc>
          <w:tcPr>
            <w:tcW w:w="33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285"/>
        </w:trPr>
        <w:tc>
          <w:tcPr>
            <w:tcW w:w="1391"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CUIER</w:t>
            </w:r>
          </w:p>
        </w:tc>
        <w:tc>
          <w:tcPr>
            <w:tcW w:w="4450"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UCI</w:t>
            </w:r>
          </w:p>
        </w:tc>
        <w:tc>
          <w:tcPr>
            <w:tcW w:w="1873"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Irvine</w:t>
            </w:r>
          </w:p>
        </w:tc>
        <w:tc>
          <w:tcPr>
            <w:tcW w:w="33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CLU</w:t>
            </w:r>
          </w:p>
        </w:tc>
        <w:tc>
          <w:tcPr>
            <w:tcW w:w="4450"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Los Angeles</w:t>
            </w:r>
          </w:p>
        </w:tc>
        <w:tc>
          <w:tcPr>
            <w:tcW w:w="1873"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Los Angeles</w:t>
            </w:r>
          </w:p>
        </w:tc>
        <w:tc>
          <w:tcPr>
            <w:tcW w:w="33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UCFTA</w:t>
            </w:r>
          </w:p>
        </w:tc>
        <w:tc>
          <w:tcPr>
            <w:tcW w:w="4450"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UCLA Film and Television Archive</w:t>
            </w:r>
          </w:p>
        </w:tc>
        <w:tc>
          <w:tcPr>
            <w:tcW w:w="1873"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Los Angeles</w:t>
            </w:r>
          </w:p>
        </w:tc>
        <w:tc>
          <w:tcPr>
            <w:tcW w:w="33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CLETH</w:t>
            </w:r>
          </w:p>
        </w:tc>
        <w:tc>
          <w:tcPr>
            <w:tcW w:w="4450"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UCLA Ethnomusiology Archive</w:t>
            </w:r>
          </w:p>
        </w:tc>
        <w:tc>
          <w:tcPr>
            <w:tcW w:w="1873"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Los Angeles</w:t>
            </w:r>
          </w:p>
        </w:tc>
        <w:tc>
          <w:tcPr>
            <w:tcW w:w="33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CLUER</w:t>
            </w:r>
          </w:p>
        </w:tc>
        <w:tc>
          <w:tcPr>
            <w:tcW w:w="4450"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UCLA</w:t>
            </w:r>
          </w:p>
        </w:tc>
        <w:tc>
          <w:tcPr>
            <w:tcW w:w="1873" w:type="dxa"/>
            <w:tcBorders>
              <w:top w:val="nil"/>
              <w:left w:val="nil"/>
              <w:bottom w:val="nil"/>
              <w:right w:val="nil"/>
            </w:tcBorders>
            <w:shd w:val="clear" w:color="000000" w:fill="CCFF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Los Angeles</w:t>
            </w:r>
          </w:p>
        </w:tc>
        <w:tc>
          <w:tcPr>
            <w:tcW w:w="33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CCFFCC"/>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289"/>
        </w:trPr>
        <w:tc>
          <w:tcPr>
            <w:tcW w:w="1391" w:type="dxa"/>
            <w:tcBorders>
              <w:top w:val="nil"/>
              <w:left w:val="nil"/>
              <w:bottom w:val="nil"/>
              <w:right w:val="nil"/>
            </w:tcBorders>
            <w:shd w:val="clear" w:color="000000" w:fill="FF99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MERUC</w:t>
            </w:r>
          </w:p>
        </w:tc>
        <w:tc>
          <w:tcPr>
            <w:tcW w:w="4450" w:type="dxa"/>
            <w:tcBorders>
              <w:top w:val="nil"/>
              <w:left w:val="nil"/>
              <w:bottom w:val="nil"/>
              <w:right w:val="nil"/>
            </w:tcBorders>
            <w:shd w:val="clear" w:color="000000" w:fill="FF99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Merced</w:t>
            </w:r>
          </w:p>
        </w:tc>
        <w:tc>
          <w:tcPr>
            <w:tcW w:w="1873" w:type="dxa"/>
            <w:tcBorders>
              <w:top w:val="nil"/>
              <w:left w:val="nil"/>
              <w:bottom w:val="nil"/>
              <w:right w:val="nil"/>
            </w:tcBorders>
            <w:shd w:val="clear" w:color="000000" w:fill="FF99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Merced</w:t>
            </w:r>
          </w:p>
        </w:tc>
        <w:tc>
          <w:tcPr>
            <w:tcW w:w="331" w:type="dxa"/>
            <w:tcBorders>
              <w:top w:val="nil"/>
              <w:left w:val="nil"/>
              <w:bottom w:val="nil"/>
              <w:right w:val="nil"/>
            </w:tcBorders>
            <w:shd w:val="clear" w:color="000000" w:fill="FF99CC"/>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99CC"/>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FF99CC"/>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sps</w:t>
            </w:r>
          </w:p>
        </w:tc>
      </w:tr>
      <w:tr w:rsidR="004B1B23" w:rsidRPr="00D73E3E" w:rsidTr="00003236">
        <w:trPr>
          <w:trHeight w:val="289"/>
        </w:trPr>
        <w:tc>
          <w:tcPr>
            <w:tcW w:w="1391" w:type="dxa"/>
            <w:tcBorders>
              <w:top w:val="nil"/>
              <w:left w:val="nil"/>
              <w:bottom w:val="nil"/>
              <w:right w:val="nil"/>
            </w:tcBorders>
            <w:shd w:val="clear" w:color="000000" w:fill="FF99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MERER</w:t>
            </w:r>
          </w:p>
        </w:tc>
        <w:tc>
          <w:tcPr>
            <w:tcW w:w="4450" w:type="dxa"/>
            <w:tcBorders>
              <w:top w:val="nil"/>
              <w:left w:val="nil"/>
              <w:bottom w:val="nil"/>
              <w:right w:val="nil"/>
            </w:tcBorders>
            <w:shd w:val="clear" w:color="000000" w:fill="FF99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UCM</w:t>
            </w:r>
          </w:p>
        </w:tc>
        <w:tc>
          <w:tcPr>
            <w:tcW w:w="1873" w:type="dxa"/>
            <w:tcBorders>
              <w:top w:val="nil"/>
              <w:left w:val="nil"/>
              <w:bottom w:val="nil"/>
              <w:right w:val="nil"/>
            </w:tcBorders>
            <w:shd w:val="clear" w:color="000000" w:fill="FF99CC"/>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Merced</w:t>
            </w:r>
          </w:p>
        </w:tc>
        <w:tc>
          <w:tcPr>
            <w:tcW w:w="331" w:type="dxa"/>
            <w:tcBorders>
              <w:top w:val="nil"/>
              <w:left w:val="nil"/>
              <w:bottom w:val="nil"/>
              <w:right w:val="nil"/>
            </w:tcBorders>
            <w:shd w:val="clear" w:color="000000" w:fill="FF99CC"/>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99CC"/>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FF99CC"/>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CRU</w:t>
            </w:r>
          </w:p>
        </w:tc>
        <w:tc>
          <w:tcPr>
            <w:tcW w:w="4450"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Riverside</w:t>
            </w:r>
          </w:p>
        </w:tc>
        <w:tc>
          <w:tcPr>
            <w:tcW w:w="1873"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Riverside</w:t>
            </w:r>
          </w:p>
        </w:tc>
        <w:tc>
          <w:tcPr>
            <w:tcW w:w="33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CRUER</w:t>
            </w:r>
          </w:p>
        </w:tc>
        <w:tc>
          <w:tcPr>
            <w:tcW w:w="4450"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UCR</w:t>
            </w:r>
          </w:p>
        </w:tc>
        <w:tc>
          <w:tcPr>
            <w:tcW w:w="1873"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Riverside</w:t>
            </w:r>
          </w:p>
        </w:tc>
        <w:tc>
          <w:tcPr>
            <w:tcW w:w="33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CUS</w:t>
            </w:r>
          </w:p>
        </w:tc>
        <w:tc>
          <w:tcPr>
            <w:tcW w:w="4450"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San Diego</w:t>
            </w:r>
          </w:p>
        </w:tc>
        <w:tc>
          <w:tcPr>
            <w:tcW w:w="1873"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 Diego</w:t>
            </w:r>
          </w:p>
        </w:tc>
        <w:tc>
          <w:tcPr>
            <w:tcW w:w="33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CUSER</w:t>
            </w:r>
          </w:p>
        </w:tc>
        <w:tc>
          <w:tcPr>
            <w:tcW w:w="4450"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UCSD</w:t>
            </w:r>
          </w:p>
        </w:tc>
        <w:tc>
          <w:tcPr>
            <w:tcW w:w="1873" w:type="dxa"/>
            <w:tcBorders>
              <w:top w:val="nil"/>
              <w:left w:val="nil"/>
              <w:bottom w:val="nil"/>
              <w:right w:val="nil"/>
            </w:tcBorders>
            <w:shd w:val="clear" w:color="000000" w:fill="CC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 Diego</w:t>
            </w:r>
          </w:p>
        </w:tc>
        <w:tc>
          <w:tcPr>
            <w:tcW w:w="33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CCCC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lastRenderedPageBreak/>
              <w:t>CUN</w:t>
            </w:r>
          </w:p>
        </w:tc>
        <w:tc>
          <w:tcPr>
            <w:tcW w:w="4450"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San Francisco</w:t>
            </w:r>
          </w:p>
        </w:tc>
        <w:tc>
          <w:tcPr>
            <w:tcW w:w="1873"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 Francisco</w:t>
            </w:r>
          </w:p>
        </w:tc>
        <w:tc>
          <w:tcPr>
            <w:tcW w:w="33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SFGHM</w:t>
            </w:r>
          </w:p>
        </w:tc>
        <w:tc>
          <w:tcPr>
            <w:tcW w:w="4450"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 Francisco General Hospital Medical Center</w:t>
            </w:r>
          </w:p>
        </w:tc>
        <w:tc>
          <w:tcPr>
            <w:tcW w:w="1873"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 Francisco</w:t>
            </w:r>
          </w:p>
        </w:tc>
        <w:tc>
          <w:tcPr>
            <w:tcW w:w="33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CUNER</w:t>
            </w:r>
          </w:p>
        </w:tc>
        <w:tc>
          <w:tcPr>
            <w:tcW w:w="4450"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UCSF</w:t>
            </w:r>
          </w:p>
        </w:tc>
        <w:tc>
          <w:tcPr>
            <w:tcW w:w="1873" w:type="dxa"/>
            <w:tcBorders>
              <w:top w:val="nil"/>
              <w:left w:val="nil"/>
              <w:bottom w:val="nil"/>
              <w:right w:val="nil"/>
            </w:tcBorders>
            <w:shd w:val="clear" w:color="000000" w:fill="FFFF99"/>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 Francisco</w:t>
            </w:r>
          </w:p>
        </w:tc>
        <w:tc>
          <w:tcPr>
            <w:tcW w:w="33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FFFF99"/>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CUT</w:t>
            </w:r>
          </w:p>
        </w:tc>
        <w:tc>
          <w:tcPr>
            <w:tcW w:w="4450"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Santa Barbara</w:t>
            </w:r>
          </w:p>
        </w:tc>
        <w:tc>
          <w:tcPr>
            <w:tcW w:w="1873"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Santa Barbara</w:t>
            </w:r>
          </w:p>
        </w:tc>
        <w:tc>
          <w:tcPr>
            <w:tcW w:w="33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CUTER</w:t>
            </w:r>
          </w:p>
        </w:tc>
        <w:tc>
          <w:tcPr>
            <w:tcW w:w="4450"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UCSB</w:t>
            </w:r>
          </w:p>
        </w:tc>
        <w:tc>
          <w:tcPr>
            <w:tcW w:w="1873" w:type="dxa"/>
            <w:tcBorders>
              <w:top w:val="nil"/>
              <w:left w:val="nil"/>
              <w:bottom w:val="nil"/>
              <w:right w:val="nil"/>
            </w:tcBorders>
            <w:shd w:val="clear" w:color="000000" w:fill="CC99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Santa Barbara</w:t>
            </w:r>
          </w:p>
        </w:tc>
        <w:tc>
          <w:tcPr>
            <w:tcW w:w="33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CC99FF"/>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C0C0C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CUZ</w:t>
            </w:r>
          </w:p>
        </w:tc>
        <w:tc>
          <w:tcPr>
            <w:tcW w:w="4450" w:type="dxa"/>
            <w:tcBorders>
              <w:top w:val="nil"/>
              <w:left w:val="nil"/>
              <w:bottom w:val="nil"/>
              <w:right w:val="nil"/>
            </w:tcBorders>
            <w:shd w:val="clear" w:color="000000" w:fill="C0C0C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University of California, Santa Cruz</w:t>
            </w:r>
          </w:p>
        </w:tc>
        <w:tc>
          <w:tcPr>
            <w:tcW w:w="1873" w:type="dxa"/>
            <w:tcBorders>
              <w:top w:val="nil"/>
              <w:left w:val="nil"/>
              <w:bottom w:val="nil"/>
              <w:right w:val="nil"/>
            </w:tcBorders>
            <w:shd w:val="clear" w:color="000000" w:fill="C0C0C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Santa Cruz</w:t>
            </w:r>
          </w:p>
        </w:tc>
        <w:tc>
          <w:tcPr>
            <w:tcW w:w="331"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255"/>
        </w:trPr>
        <w:tc>
          <w:tcPr>
            <w:tcW w:w="1391"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CUZER</w:t>
            </w:r>
          </w:p>
        </w:tc>
        <w:tc>
          <w:tcPr>
            <w:tcW w:w="4450" w:type="dxa"/>
            <w:tcBorders>
              <w:top w:val="nil"/>
              <w:left w:val="nil"/>
              <w:bottom w:val="nil"/>
              <w:right w:val="nil"/>
            </w:tcBorders>
            <w:shd w:val="clear" w:color="000000" w:fill="C0C0C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SCP records at UCSC</w:t>
            </w:r>
          </w:p>
        </w:tc>
        <w:tc>
          <w:tcPr>
            <w:tcW w:w="1873"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Santa Cruz</w:t>
            </w:r>
          </w:p>
        </w:tc>
        <w:tc>
          <w:tcPr>
            <w:tcW w:w="331"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161" w:type="dxa"/>
            <w:tcBorders>
              <w:top w:val="nil"/>
              <w:left w:val="nil"/>
              <w:bottom w:val="nil"/>
              <w:right w:val="nil"/>
            </w:tcBorders>
            <w:shd w:val="clear" w:color="000000" w:fill="C0C0C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255"/>
        </w:trPr>
        <w:tc>
          <w:tcPr>
            <w:tcW w:w="139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ZAP</w:t>
            </w:r>
          </w:p>
        </w:tc>
        <w:tc>
          <w:tcPr>
            <w:tcW w:w="4450"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xml:space="preserve">NRLF  </w:t>
            </w:r>
          </w:p>
        </w:tc>
        <w:tc>
          <w:tcPr>
            <w:tcW w:w="1873"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RLF</w:t>
            </w:r>
          </w:p>
        </w:tc>
        <w:tc>
          <w:tcPr>
            <w:tcW w:w="33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255"/>
        </w:trPr>
        <w:tc>
          <w:tcPr>
            <w:tcW w:w="139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ZAPSP*</w:t>
            </w:r>
          </w:p>
        </w:tc>
        <w:tc>
          <w:tcPr>
            <w:tcW w:w="4450"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NRLF Shared Print</w:t>
            </w:r>
          </w:p>
        </w:tc>
        <w:tc>
          <w:tcPr>
            <w:tcW w:w="1873"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RLF</w:t>
            </w:r>
          </w:p>
        </w:tc>
        <w:tc>
          <w:tcPr>
            <w:tcW w:w="33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c>
          <w:tcPr>
            <w:tcW w:w="171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 </w:t>
            </w:r>
          </w:p>
        </w:tc>
      </w:tr>
      <w:tr w:rsidR="004B1B23" w:rsidRPr="00D73E3E" w:rsidTr="00003236">
        <w:trPr>
          <w:trHeight w:val="300"/>
        </w:trPr>
        <w:tc>
          <w:tcPr>
            <w:tcW w:w="1391"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ZAS</w:t>
            </w:r>
          </w:p>
        </w:tc>
        <w:tc>
          <w:tcPr>
            <w:tcW w:w="4450"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SRLF</w:t>
            </w:r>
          </w:p>
        </w:tc>
        <w:tc>
          <w:tcPr>
            <w:tcW w:w="1873"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RLF</w:t>
            </w:r>
          </w:p>
        </w:tc>
        <w:tc>
          <w:tcPr>
            <w:tcW w:w="33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HH0</w:t>
            </w:r>
          </w:p>
        </w:tc>
        <w:tc>
          <w:tcPr>
            <w:tcW w:w="4450"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SRLF Shared Print</w:t>
            </w:r>
          </w:p>
        </w:tc>
        <w:tc>
          <w:tcPr>
            <w:tcW w:w="1873" w:type="dxa"/>
            <w:tcBorders>
              <w:top w:val="nil"/>
              <w:left w:val="nil"/>
              <w:bottom w:val="nil"/>
              <w:right w:val="nil"/>
            </w:tcBorders>
            <w:shd w:val="clear" w:color="000000" w:fill="FFCC00"/>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RLF</w:t>
            </w:r>
          </w:p>
        </w:tc>
        <w:tc>
          <w:tcPr>
            <w:tcW w:w="33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Supplier</w:t>
            </w:r>
          </w:p>
        </w:tc>
        <w:tc>
          <w:tcPr>
            <w:tcW w:w="1161" w:type="dxa"/>
            <w:tcBorders>
              <w:top w:val="nil"/>
              <w:left w:val="nil"/>
              <w:bottom w:val="nil"/>
              <w:right w:val="nil"/>
            </w:tcBorders>
            <w:shd w:val="clear" w:color="000000" w:fill="FFCC00"/>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000000" w:fill="99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CDLER</w:t>
            </w:r>
          </w:p>
        </w:tc>
        <w:tc>
          <w:tcPr>
            <w:tcW w:w="4450" w:type="dxa"/>
            <w:tcBorders>
              <w:top w:val="nil"/>
              <w:left w:val="nil"/>
              <w:bottom w:val="nil"/>
              <w:right w:val="nil"/>
            </w:tcBorders>
            <w:shd w:val="clear" w:color="000000" w:fill="99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Mass digitization records for all UC</w:t>
            </w:r>
          </w:p>
        </w:tc>
        <w:tc>
          <w:tcPr>
            <w:tcW w:w="1873" w:type="dxa"/>
            <w:tcBorders>
              <w:top w:val="nil"/>
              <w:left w:val="nil"/>
              <w:bottom w:val="nil"/>
              <w:right w:val="nil"/>
            </w:tcBorders>
            <w:shd w:val="clear" w:color="000000" w:fill="99CCFF"/>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CDL</w:t>
            </w:r>
          </w:p>
        </w:tc>
        <w:tc>
          <w:tcPr>
            <w:tcW w:w="331" w:type="dxa"/>
            <w:tcBorders>
              <w:top w:val="nil"/>
              <w:left w:val="nil"/>
              <w:bottom w:val="nil"/>
              <w:right w:val="nil"/>
            </w:tcBorders>
            <w:shd w:val="clear" w:color="000000" w:fill="99CC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711" w:type="dxa"/>
            <w:tcBorders>
              <w:top w:val="nil"/>
              <w:left w:val="nil"/>
              <w:bottom w:val="nil"/>
              <w:right w:val="nil"/>
            </w:tcBorders>
            <w:shd w:val="clear" w:color="000000" w:fill="99CC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c>
          <w:tcPr>
            <w:tcW w:w="1161" w:type="dxa"/>
            <w:tcBorders>
              <w:top w:val="nil"/>
              <w:left w:val="nil"/>
              <w:bottom w:val="nil"/>
              <w:right w:val="nil"/>
            </w:tcBorders>
            <w:shd w:val="clear" w:color="000000" w:fill="99CCFF"/>
            <w:noWrap/>
            <w:vAlign w:val="bottom"/>
            <w:hideMark/>
          </w:tcPr>
          <w:p w:rsidR="004B1B23" w:rsidRPr="00D73E3E" w:rsidRDefault="004B1B23" w:rsidP="00003236">
            <w:pPr>
              <w:spacing w:after="0" w:line="240" w:lineRule="auto"/>
              <w:rPr>
                <w:rFonts w:eastAsia="Times New Roman" w:cs="Arial"/>
              </w:rPr>
            </w:pPr>
            <w:r w:rsidRPr="00D73E3E">
              <w:rPr>
                <w:rFonts w:eastAsia="Times New Roman" w:cs="Arial"/>
              </w:rPr>
              <w:t> </w:t>
            </w:r>
          </w:p>
        </w:tc>
      </w:tr>
      <w:tr w:rsidR="004B1B23" w:rsidRPr="00D73E3E" w:rsidTr="00003236">
        <w:trPr>
          <w:trHeight w:val="300"/>
        </w:trPr>
        <w:tc>
          <w:tcPr>
            <w:tcW w:w="1391"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sz w:val="20"/>
                <w:szCs w:val="20"/>
              </w:rPr>
            </w:pPr>
          </w:p>
        </w:tc>
        <w:tc>
          <w:tcPr>
            <w:tcW w:w="4450"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sz w:val="20"/>
                <w:szCs w:val="20"/>
              </w:rPr>
            </w:pPr>
          </w:p>
        </w:tc>
        <w:tc>
          <w:tcPr>
            <w:tcW w:w="1873"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sz w:val="20"/>
                <w:szCs w:val="20"/>
              </w:rPr>
            </w:pPr>
          </w:p>
        </w:tc>
        <w:tc>
          <w:tcPr>
            <w:tcW w:w="331" w:type="dxa"/>
            <w:tcBorders>
              <w:top w:val="nil"/>
              <w:left w:val="nil"/>
              <w:bottom w:val="nil"/>
              <w:right w:val="nil"/>
            </w:tcBorders>
            <w:shd w:val="clear" w:color="auto" w:fill="auto"/>
            <w:noWrap/>
            <w:vAlign w:val="bottom"/>
            <w:hideMark/>
          </w:tcPr>
          <w:p w:rsidR="004B1B23" w:rsidRPr="00D73E3E" w:rsidRDefault="004B1B23" w:rsidP="00003236">
            <w:pPr>
              <w:spacing w:after="0" w:line="240" w:lineRule="auto"/>
              <w:rPr>
                <w:rFonts w:eastAsia="Times New Roman" w:cs="Arial"/>
              </w:rPr>
            </w:pPr>
          </w:p>
        </w:tc>
        <w:tc>
          <w:tcPr>
            <w:tcW w:w="1711" w:type="dxa"/>
            <w:tcBorders>
              <w:top w:val="nil"/>
              <w:left w:val="nil"/>
              <w:bottom w:val="nil"/>
              <w:right w:val="nil"/>
            </w:tcBorders>
            <w:shd w:val="clear" w:color="auto" w:fill="auto"/>
            <w:noWrap/>
            <w:vAlign w:val="bottom"/>
            <w:hideMark/>
          </w:tcPr>
          <w:p w:rsidR="004B1B23" w:rsidRPr="00D73E3E" w:rsidRDefault="004B1B23" w:rsidP="00003236">
            <w:pPr>
              <w:spacing w:after="0" w:line="240" w:lineRule="auto"/>
              <w:rPr>
                <w:rFonts w:eastAsia="Times New Roman" w:cs="Arial"/>
              </w:rPr>
            </w:pPr>
          </w:p>
        </w:tc>
        <w:tc>
          <w:tcPr>
            <w:tcW w:w="1161" w:type="dxa"/>
            <w:tcBorders>
              <w:top w:val="nil"/>
              <w:left w:val="nil"/>
              <w:bottom w:val="nil"/>
              <w:right w:val="nil"/>
            </w:tcBorders>
            <w:shd w:val="clear" w:color="auto" w:fill="auto"/>
            <w:noWrap/>
            <w:vAlign w:val="bottom"/>
            <w:hideMark/>
          </w:tcPr>
          <w:p w:rsidR="004B1B23" w:rsidRPr="00D73E3E" w:rsidRDefault="004B1B23" w:rsidP="00003236">
            <w:pPr>
              <w:spacing w:after="0" w:line="240" w:lineRule="auto"/>
              <w:rPr>
                <w:rFonts w:eastAsia="Times New Roman" w:cs="Arial"/>
              </w:rPr>
            </w:pPr>
          </w:p>
        </w:tc>
      </w:tr>
      <w:tr w:rsidR="004B1B23" w:rsidRPr="00D73E3E" w:rsidTr="00003236">
        <w:trPr>
          <w:trHeight w:val="300"/>
        </w:trPr>
        <w:tc>
          <w:tcPr>
            <w:tcW w:w="5841" w:type="dxa"/>
            <w:gridSpan w:val="2"/>
            <w:tcBorders>
              <w:top w:val="nil"/>
              <w:left w:val="nil"/>
              <w:bottom w:val="nil"/>
              <w:right w:val="nil"/>
            </w:tcBorders>
            <w:shd w:val="clear" w:color="auto" w:fill="auto"/>
            <w:noWrap/>
            <w:vAlign w:val="bottom"/>
            <w:hideMark/>
          </w:tcPr>
          <w:p w:rsidR="004B1B23" w:rsidRPr="00D73E3E" w:rsidRDefault="004B1B23" w:rsidP="00003236">
            <w:pPr>
              <w:spacing w:after="0" w:line="240" w:lineRule="auto"/>
              <w:rPr>
                <w:rFonts w:eastAsia="Times New Roman" w:cs="Arial"/>
                <w:sz w:val="20"/>
                <w:szCs w:val="20"/>
              </w:rPr>
            </w:pPr>
            <w:r w:rsidRPr="00D73E3E">
              <w:rPr>
                <w:rFonts w:eastAsia="Times New Roman" w:cs="Arial"/>
                <w:sz w:val="20"/>
                <w:szCs w:val="20"/>
              </w:rPr>
              <w:t>*Symbol needed but not yet established</w:t>
            </w:r>
          </w:p>
        </w:tc>
        <w:tc>
          <w:tcPr>
            <w:tcW w:w="1873"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sz w:val="20"/>
                <w:szCs w:val="20"/>
              </w:rPr>
            </w:pPr>
          </w:p>
        </w:tc>
        <w:tc>
          <w:tcPr>
            <w:tcW w:w="331"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rPr>
            </w:pPr>
          </w:p>
        </w:tc>
        <w:tc>
          <w:tcPr>
            <w:tcW w:w="1711"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rPr>
            </w:pPr>
          </w:p>
        </w:tc>
        <w:tc>
          <w:tcPr>
            <w:tcW w:w="1161" w:type="dxa"/>
            <w:tcBorders>
              <w:top w:val="nil"/>
              <w:left w:val="nil"/>
              <w:bottom w:val="nil"/>
              <w:right w:val="nil"/>
            </w:tcBorders>
            <w:shd w:val="clear" w:color="auto" w:fill="auto"/>
            <w:vAlign w:val="bottom"/>
            <w:hideMark/>
          </w:tcPr>
          <w:p w:rsidR="004B1B23" w:rsidRPr="00D73E3E" w:rsidRDefault="004B1B23" w:rsidP="00003236">
            <w:pPr>
              <w:spacing w:after="0" w:line="240" w:lineRule="auto"/>
              <w:rPr>
                <w:rFonts w:eastAsia="Times New Roman" w:cs="Arial"/>
              </w:rPr>
            </w:pPr>
          </w:p>
        </w:tc>
      </w:tr>
      <w:bookmarkEnd w:id="0"/>
    </w:tbl>
    <w:p w:rsidR="00337781" w:rsidRDefault="00337781"/>
    <w:sectPr w:rsidR="00337781" w:rsidSect="00E6555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9" w:rsidRDefault="00446D29" w:rsidP="002722C0">
      <w:pPr>
        <w:spacing w:after="0" w:line="240" w:lineRule="auto"/>
      </w:pPr>
      <w:r>
        <w:separator/>
      </w:r>
    </w:p>
  </w:endnote>
  <w:endnote w:type="continuationSeparator" w:id="0">
    <w:p w:rsidR="00446D29" w:rsidRDefault="00446D29" w:rsidP="0027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C64906">
    <w:pPr>
      <w:pStyle w:val="Footer"/>
      <w:jc w:val="center"/>
    </w:pPr>
    <w:fldSimple w:instr=" PAGE   \* MERGEFORMAT ">
      <w:r w:rsidR="00794E82">
        <w:rPr>
          <w:noProof/>
        </w:rPr>
        <w:t>1</w:t>
      </w:r>
    </w:fldSimple>
  </w:p>
  <w:p w:rsidR="004B1B23" w:rsidRDefault="004B1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9" w:rsidRDefault="00446D29" w:rsidP="002722C0">
      <w:pPr>
        <w:spacing w:after="0" w:line="240" w:lineRule="auto"/>
      </w:pPr>
      <w:r>
        <w:separator/>
      </w:r>
    </w:p>
  </w:footnote>
  <w:footnote w:type="continuationSeparator" w:id="0">
    <w:p w:rsidR="00446D29" w:rsidRDefault="00446D29" w:rsidP="00272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538"/>
      <w:docPartObj>
        <w:docPartGallery w:val="Watermarks"/>
        <w:docPartUnique/>
      </w:docPartObj>
    </w:sdtPr>
    <w:sdtContent>
      <w:p w:rsidR="004B1B23" w:rsidRDefault="00C649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3FA"/>
    <w:multiLevelType w:val="hybridMultilevel"/>
    <w:tmpl w:val="CA90A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352A33"/>
    <w:multiLevelType w:val="hybridMultilevel"/>
    <w:tmpl w:val="1E5863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07BF4"/>
    <w:multiLevelType w:val="hybridMultilevel"/>
    <w:tmpl w:val="19E27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8C77DE"/>
    <w:multiLevelType w:val="hybridMultilevel"/>
    <w:tmpl w:val="684A7E06"/>
    <w:lvl w:ilvl="0" w:tplc="33B4FB7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C40994"/>
    <w:multiLevelType w:val="hybridMultilevel"/>
    <w:tmpl w:val="2B5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73CA6"/>
    <w:multiLevelType w:val="hybridMultilevel"/>
    <w:tmpl w:val="BFE41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703228"/>
    <w:multiLevelType w:val="hybridMultilevel"/>
    <w:tmpl w:val="B12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925B6"/>
    <w:multiLevelType w:val="hybridMultilevel"/>
    <w:tmpl w:val="D958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640DC"/>
    <w:multiLevelType w:val="hybridMultilevel"/>
    <w:tmpl w:val="C1B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12B95"/>
    <w:multiLevelType w:val="hybridMultilevel"/>
    <w:tmpl w:val="4C9690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2E16F9E"/>
    <w:multiLevelType w:val="hybridMultilevel"/>
    <w:tmpl w:val="844CD33E"/>
    <w:lvl w:ilvl="0" w:tplc="7EEC967E">
      <w:start w:val="1"/>
      <w:numFmt w:val="decimal"/>
      <w:lvlText w:val="%1."/>
      <w:lvlJc w:val="left"/>
      <w:pPr>
        <w:tabs>
          <w:tab w:val="num" w:pos="720"/>
        </w:tabs>
        <w:ind w:left="720" w:hanging="360"/>
      </w:pPr>
      <w:rPr>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557FF"/>
    <w:multiLevelType w:val="hybridMultilevel"/>
    <w:tmpl w:val="075C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0"/>
  </w:num>
  <w:num w:numId="9">
    <w:abstractNumId w:val="2"/>
  </w:num>
  <w:num w:numId="10">
    <w:abstractNumId w:val="11"/>
  </w:num>
  <w:num w:numId="11">
    <w:abstractNumId w:val="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7710A7"/>
    <w:rsid w:val="00003236"/>
    <w:rsid w:val="000777A2"/>
    <w:rsid w:val="0009000C"/>
    <w:rsid w:val="000C3F56"/>
    <w:rsid w:val="000E5666"/>
    <w:rsid w:val="001247AD"/>
    <w:rsid w:val="0012504C"/>
    <w:rsid w:val="00170100"/>
    <w:rsid w:val="00174778"/>
    <w:rsid w:val="002221B2"/>
    <w:rsid w:val="002317C2"/>
    <w:rsid w:val="002722C0"/>
    <w:rsid w:val="00286D10"/>
    <w:rsid w:val="0029651F"/>
    <w:rsid w:val="002A648A"/>
    <w:rsid w:val="002B5B68"/>
    <w:rsid w:val="002E60EF"/>
    <w:rsid w:val="00300CD7"/>
    <w:rsid w:val="00337781"/>
    <w:rsid w:val="00384F5B"/>
    <w:rsid w:val="003F24F9"/>
    <w:rsid w:val="00413646"/>
    <w:rsid w:val="00446D29"/>
    <w:rsid w:val="004628C2"/>
    <w:rsid w:val="00465021"/>
    <w:rsid w:val="004B1B23"/>
    <w:rsid w:val="0051560B"/>
    <w:rsid w:val="0052254D"/>
    <w:rsid w:val="00552BC5"/>
    <w:rsid w:val="00562D5D"/>
    <w:rsid w:val="00563872"/>
    <w:rsid w:val="005C7033"/>
    <w:rsid w:val="00685E1D"/>
    <w:rsid w:val="00710A45"/>
    <w:rsid w:val="007154D3"/>
    <w:rsid w:val="007710A7"/>
    <w:rsid w:val="00794E82"/>
    <w:rsid w:val="008861E8"/>
    <w:rsid w:val="008E03AF"/>
    <w:rsid w:val="008F49ED"/>
    <w:rsid w:val="00901CAC"/>
    <w:rsid w:val="00961664"/>
    <w:rsid w:val="009F2CDF"/>
    <w:rsid w:val="00A01E56"/>
    <w:rsid w:val="00A728CC"/>
    <w:rsid w:val="00A94267"/>
    <w:rsid w:val="00A95EC7"/>
    <w:rsid w:val="00AC31EF"/>
    <w:rsid w:val="00AD73D9"/>
    <w:rsid w:val="00B61189"/>
    <w:rsid w:val="00B660BF"/>
    <w:rsid w:val="00B676BF"/>
    <w:rsid w:val="00B80577"/>
    <w:rsid w:val="00BE0DCC"/>
    <w:rsid w:val="00C05C55"/>
    <w:rsid w:val="00C646B8"/>
    <w:rsid w:val="00C64906"/>
    <w:rsid w:val="00D811A7"/>
    <w:rsid w:val="00E40138"/>
    <w:rsid w:val="00E65558"/>
    <w:rsid w:val="00E77BB2"/>
    <w:rsid w:val="00E86B88"/>
    <w:rsid w:val="00EF2B82"/>
    <w:rsid w:val="00F41380"/>
    <w:rsid w:val="00F55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F"/>
  </w:style>
  <w:style w:type="paragraph" w:styleId="Heading1">
    <w:name w:val="heading 1"/>
    <w:basedOn w:val="Normal"/>
    <w:next w:val="Normal"/>
    <w:link w:val="Heading1Char"/>
    <w:uiPriority w:val="99"/>
    <w:qFormat/>
    <w:rsid w:val="00337781"/>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
    <w:semiHidden/>
    <w:unhideWhenUsed/>
    <w:qFormat/>
    <w:rsid w:val="005C70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781"/>
    <w:rPr>
      <w:rFonts w:ascii="Arial" w:eastAsia="Calibri" w:hAnsi="Arial" w:cs="Arial"/>
      <w:b/>
      <w:bCs/>
      <w:kern w:val="32"/>
      <w:sz w:val="32"/>
      <w:szCs w:val="32"/>
    </w:rPr>
  </w:style>
  <w:style w:type="paragraph" w:styleId="ListParagraph">
    <w:name w:val="List Paragraph"/>
    <w:basedOn w:val="Normal"/>
    <w:uiPriority w:val="34"/>
    <w:qFormat/>
    <w:rsid w:val="00337781"/>
    <w:pPr>
      <w:ind w:left="720"/>
      <w:contextualSpacing/>
    </w:pPr>
    <w:rPr>
      <w:rFonts w:ascii="Calibri" w:eastAsia="Calibri" w:hAnsi="Calibri" w:cs="Times New Roman"/>
    </w:rPr>
  </w:style>
  <w:style w:type="paragraph" w:styleId="Header">
    <w:name w:val="header"/>
    <w:basedOn w:val="Normal"/>
    <w:link w:val="HeaderChar"/>
    <w:uiPriority w:val="99"/>
    <w:rsid w:val="00337781"/>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37781"/>
    <w:rPr>
      <w:rFonts w:ascii="Calibri" w:eastAsia="Calibri" w:hAnsi="Calibri" w:cs="Times New Roman"/>
    </w:rPr>
  </w:style>
  <w:style w:type="paragraph" w:styleId="Footer">
    <w:name w:val="footer"/>
    <w:basedOn w:val="Normal"/>
    <w:link w:val="FooterChar"/>
    <w:uiPriority w:val="99"/>
    <w:rsid w:val="00337781"/>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337781"/>
    <w:rPr>
      <w:rFonts w:ascii="Calibri" w:eastAsia="Calibri" w:hAnsi="Calibri" w:cs="Times New Roman"/>
    </w:rPr>
  </w:style>
  <w:style w:type="paragraph" w:styleId="HTMLPreformatted">
    <w:name w:val="HTML Preformatted"/>
    <w:basedOn w:val="Normal"/>
    <w:link w:val="HTMLPreformattedChar"/>
    <w:rsid w:val="0033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337781"/>
    <w:rPr>
      <w:rFonts w:ascii="Courier New" w:eastAsia="SimSun" w:hAnsi="Courier New" w:cs="Courier New"/>
      <w:sz w:val="20"/>
      <w:szCs w:val="20"/>
      <w:lang w:eastAsia="zh-CN"/>
    </w:rPr>
  </w:style>
  <w:style w:type="paragraph" w:styleId="BodyText">
    <w:name w:val="Body Text"/>
    <w:basedOn w:val="Normal"/>
    <w:link w:val="BodyTextChar"/>
    <w:rsid w:val="00337781"/>
    <w:pPr>
      <w:widowControl w:val="0"/>
      <w:suppressAutoHyphens/>
      <w:spacing w:after="0" w:line="240" w:lineRule="auto"/>
    </w:pPr>
    <w:rPr>
      <w:rFonts w:ascii="Verdana" w:eastAsia="Verdana" w:hAnsi="Verdana" w:cs="Times New Roman"/>
      <w:sz w:val="20"/>
      <w:szCs w:val="20"/>
      <w:lang w:eastAsia="zh-CN"/>
    </w:rPr>
  </w:style>
  <w:style w:type="character" w:customStyle="1" w:styleId="BodyTextChar">
    <w:name w:val="Body Text Char"/>
    <w:basedOn w:val="DefaultParagraphFont"/>
    <w:link w:val="BodyText"/>
    <w:rsid w:val="00337781"/>
    <w:rPr>
      <w:rFonts w:ascii="Verdana" w:eastAsia="Verdana" w:hAnsi="Verdana" w:cs="Times New Roman"/>
      <w:sz w:val="20"/>
      <w:szCs w:val="20"/>
      <w:lang w:eastAsia="zh-CN"/>
    </w:rPr>
  </w:style>
  <w:style w:type="paragraph" w:customStyle="1" w:styleId="msolistparagraph0">
    <w:name w:val="msolistparagraph"/>
    <w:basedOn w:val="Normal"/>
    <w:rsid w:val="0033778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562D5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62D5D"/>
    <w:rPr>
      <w:rFonts w:ascii="Consolas" w:eastAsiaTheme="minorEastAsia" w:hAnsi="Consolas"/>
      <w:sz w:val="21"/>
      <w:szCs w:val="21"/>
    </w:rPr>
  </w:style>
  <w:style w:type="paragraph" w:styleId="TOCHeading">
    <w:name w:val="TOC Heading"/>
    <w:basedOn w:val="Heading1"/>
    <w:next w:val="Normal"/>
    <w:uiPriority w:val="39"/>
    <w:semiHidden/>
    <w:unhideWhenUsed/>
    <w:qFormat/>
    <w:rsid w:val="005C70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C7033"/>
    <w:pPr>
      <w:spacing w:after="100"/>
    </w:pPr>
  </w:style>
  <w:style w:type="character" w:styleId="Hyperlink">
    <w:name w:val="Hyperlink"/>
    <w:basedOn w:val="DefaultParagraphFont"/>
    <w:uiPriority w:val="99"/>
    <w:unhideWhenUsed/>
    <w:rsid w:val="005C7033"/>
    <w:rPr>
      <w:color w:val="0000FF" w:themeColor="hyperlink"/>
      <w:u w:val="single"/>
    </w:rPr>
  </w:style>
  <w:style w:type="paragraph" w:styleId="BalloonText">
    <w:name w:val="Balloon Text"/>
    <w:basedOn w:val="Normal"/>
    <w:link w:val="BalloonTextChar"/>
    <w:uiPriority w:val="99"/>
    <w:semiHidden/>
    <w:unhideWhenUsed/>
    <w:rsid w:val="005C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33"/>
    <w:rPr>
      <w:rFonts w:ascii="Tahoma" w:hAnsi="Tahoma" w:cs="Tahoma"/>
      <w:sz w:val="16"/>
      <w:szCs w:val="16"/>
    </w:rPr>
  </w:style>
  <w:style w:type="character" w:customStyle="1" w:styleId="Heading2Char">
    <w:name w:val="Heading 2 Char"/>
    <w:basedOn w:val="DefaultParagraphFont"/>
    <w:link w:val="Heading2"/>
    <w:uiPriority w:val="9"/>
    <w:semiHidden/>
    <w:rsid w:val="005C703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85E1D"/>
    <w:pPr>
      <w:tabs>
        <w:tab w:val="right" w:leader="dot" w:pos="9350"/>
      </w:tabs>
      <w:spacing w:after="100"/>
      <w:ind w:left="720"/>
    </w:pPr>
    <w:rPr>
      <w:rFonts w:eastAsia="Calibri" w:cs="Arial"/>
      <w:noProof/>
      <w:kern w:val="32"/>
    </w:rPr>
  </w:style>
</w:styles>
</file>

<file path=word/webSettings.xml><?xml version="1.0" encoding="utf-8"?>
<w:webSettings xmlns:r="http://schemas.openxmlformats.org/officeDocument/2006/relationships" xmlns:w="http://schemas.openxmlformats.org/wordprocessingml/2006/main">
  <w:divs>
    <w:div w:id="620961068">
      <w:bodyDiv w:val="1"/>
      <w:marLeft w:val="0"/>
      <w:marRight w:val="0"/>
      <w:marTop w:val="0"/>
      <w:marBottom w:val="0"/>
      <w:divBdr>
        <w:top w:val="none" w:sz="0" w:space="0" w:color="auto"/>
        <w:left w:val="none" w:sz="0" w:space="0" w:color="auto"/>
        <w:bottom w:val="none" w:sz="0" w:space="0" w:color="auto"/>
        <w:right w:val="none" w:sz="0" w:space="0" w:color="auto"/>
      </w:divBdr>
    </w:div>
    <w:div w:id="16926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A49F-0C4F-46ED-BF33-3E21CB1C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SSHL - Geisel Library</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sshluser</dc:creator>
  <cp:keywords/>
  <dc:description/>
  <cp:lastModifiedBy>estambaugh</cp:lastModifiedBy>
  <cp:revision>4</cp:revision>
  <dcterms:created xsi:type="dcterms:W3CDTF">2011-04-21T17:27:00Z</dcterms:created>
  <dcterms:modified xsi:type="dcterms:W3CDTF">2011-04-21T17:31:00Z</dcterms:modified>
</cp:coreProperties>
</file>