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641" w:rsidRPr="00734F84" w:rsidRDefault="00525641" w:rsidP="00525641">
      <w:pPr>
        <w:pStyle w:val="Heading3"/>
        <w:jc w:val="center"/>
      </w:pPr>
      <w:bookmarkStart w:id="0" w:name="_Toc274570560"/>
      <w:r w:rsidRPr="00734F84">
        <w:t>Shared Monographs Initiative Statement Template</w:t>
      </w:r>
      <w:bookmarkEnd w:id="0"/>
    </w:p>
    <w:p w:rsidR="00525641" w:rsidRDefault="00525641" w:rsidP="00525641">
      <w:pPr>
        <w:jc w:val="center"/>
        <w:rPr>
          <w:b/>
          <w:sz w:val="24"/>
          <w:szCs w:val="24"/>
        </w:rPr>
      </w:pPr>
      <w:r w:rsidRPr="00757361">
        <w:rPr>
          <w:b/>
          <w:sz w:val="24"/>
          <w:szCs w:val="24"/>
        </w:rPr>
        <w:t>For prospective purchases of shared</w:t>
      </w:r>
      <w:r w:rsidR="00EB2122">
        <w:rPr>
          <w:b/>
          <w:sz w:val="24"/>
          <w:szCs w:val="24"/>
        </w:rPr>
        <w:t xml:space="preserve"> print</w:t>
      </w:r>
      <w:r w:rsidRPr="00757361">
        <w:rPr>
          <w:b/>
          <w:sz w:val="24"/>
          <w:szCs w:val="24"/>
        </w:rPr>
        <w:t xml:space="preserve"> monographs</w:t>
      </w:r>
    </w:p>
    <w:p w:rsidR="005F36BF" w:rsidRPr="003B492A" w:rsidRDefault="005F36BF" w:rsidP="00525641">
      <w:pPr>
        <w:jc w:val="center"/>
        <w:rPr>
          <w:b/>
          <w:sz w:val="24"/>
          <w:szCs w:val="24"/>
        </w:rPr>
      </w:pPr>
      <w:r w:rsidRPr="003B492A">
        <w:rPr>
          <w:b/>
          <w:sz w:val="24"/>
          <w:szCs w:val="24"/>
        </w:rPr>
        <w:t>(</w:t>
      </w:r>
      <w:r w:rsidRPr="003B492A">
        <w:rPr>
          <w:b/>
          <w:sz w:val="24"/>
          <w:szCs w:val="24"/>
          <w:highlight w:val="yellow"/>
        </w:rPr>
        <w:t xml:space="preserve">complete all </w:t>
      </w:r>
      <w:r w:rsidR="003B492A">
        <w:rPr>
          <w:b/>
          <w:sz w:val="24"/>
          <w:szCs w:val="24"/>
          <w:highlight w:val="yellow"/>
        </w:rPr>
        <w:t xml:space="preserve">highlighted </w:t>
      </w:r>
      <w:r w:rsidRPr="003B492A">
        <w:rPr>
          <w:b/>
          <w:sz w:val="24"/>
          <w:szCs w:val="24"/>
          <w:highlight w:val="yellow"/>
        </w:rPr>
        <w:t>sections</w:t>
      </w:r>
      <w:r w:rsidRPr="003B492A">
        <w:rPr>
          <w:b/>
          <w:sz w:val="24"/>
          <w:szCs w:val="24"/>
        </w:rPr>
        <w:t>)</w:t>
      </w:r>
    </w:p>
    <w:p w:rsidR="005F36BF" w:rsidRPr="003B492A" w:rsidRDefault="005F36BF" w:rsidP="00525641">
      <w:pPr>
        <w:jc w:val="center"/>
        <w:rPr>
          <w:b/>
          <w:sz w:val="24"/>
          <w:szCs w:val="24"/>
        </w:rPr>
      </w:pPr>
    </w:p>
    <w:p w:rsidR="00525641" w:rsidRPr="003B492A" w:rsidRDefault="00525641" w:rsidP="00525641">
      <w:pPr>
        <w:jc w:val="center"/>
        <w:rPr>
          <w:rFonts w:ascii="Verdana" w:hAnsi="Verdana"/>
          <w:b/>
          <w:sz w:val="20"/>
          <w:szCs w:val="20"/>
        </w:rPr>
      </w:pPr>
    </w:p>
    <w:p w:rsidR="00525641" w:rsidRPr="00734F84" w:rsidRDefault="00525641" w:rsidP="003B492A">
      <w:pPr>
        <w:rPr>
          <w:rFonts w:ascii="Verdana" w:hAnsi="Verdana"/>
          <w:b/>
          <w:sz w:val="20"/>
          <w:szCs w:val="20"/>
        </w:rPr>
      </w:pPr>
      <w:r w:rsidRPr="003B492A">
        <w:rPr>
          <w:rFonts w:ascii="Verdana" w:hAnsi="Verdana"/>
          <w:b/>
          <w:sz w:val="20"/>
          <w:szCs w:val="20"/>
        </w:rPr>
        <w:t>Initiative Name:</w:t>
      </w:r>
    </w:p>
    <w:p w:rsidR="00525641" w:rsidRDefault="00525641" w:rsidP="00525641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88"/>
      </w:tblGrid>
      <w:tr w:rsidR="003B492A" w:rsidRPr="00FE4446" w:rsidTr="00FE4446">
        <w:tc>
          <w:tcPr>
            <w:tcW w:w="10188" w:type="dxa"/>
            <w:shd w:val="clear" w:color="auto" w:fill="FFFF00"/>
          </w:tcPr>
          <w:p w:rsidR="003B492A" w:rsidRPr="00FE4446" w:rsidRDefault="003B492A" w:rsidP="00525641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25641" w:rsidRPr="00734F84" w:rsidRDefault="00525641" w:rsidP="00525641">
      <w:pPr>
        <w:rPr>
          <w:rFonts w:ascii="Verdana" w:hAnsi="Verdana"/>
          <w:b/>
          <w:sz w:val="20"/>
          <w:szCs w:val="20"/>
        </w:rPr>
      </w:pPr>
    </w:p>
    <w:p w:rsidR="000D5E10" w:rsidRPr="002053F2" w:rsidRDefault="002053F2" w:rsidP="00525641">
      <w:pPr>
        <w:rPr>
          <w:rFonts w:ascii="Verdana" w:hAnsi="Verdana"/>
          <w:sz w:val="18"/>
          <w:szCs w:val="18"/>
        </w:rPr>
      </w:pPr>
      <w:r w:rsidRPr="002053F2">
        <w:rPr>
          <w:rFonts w:ascii="Verdana" w:hAnsi="Verdana"/>
          <w:sz w:val="18"/>
          <w:szCs w:val="18"/>
        </w:rPr>
        <w:t>All forwarded Initiative Statements are assumed to have Bib</w:t>
      </w:r>
      <w:r>
        <w:rPr>
          <w:rFonts w:ascii="Verdana" w:hAnsi="Verdana"/>
          <w:sz w:val="18"/>
          <w:szCs w:val="18"/>
        </w:rPr>
        <w:t xml:space="preserve">liographer Group </w:t>
      </w:r>
      <w:r w:rsidRPr="002053F2">
        <w:rPr>
          <w:rFonts w:ascii="Verdana" w:hAnsi="Verdana"/>
          <w:sz w:val="18"/>
          <w:szCs w:val="18"/>
        </w:rPr>
        <w:t>approval and the managing campus C</w:t>
      </w:r>
      <w:r>
        <w:rPr>
          <w:rFonts w:ascii="Verdana" w:hAnsi="Verdana"/>
          <w:sz w:val="18"/>
          <w:szCs w:val="18"/>
        </w:rPr>
        <w:t>ollection Development Officer’s</w:t>
      </w:r>
      <w:r w:rsidRPr="002053F2">
        <w:rPr>
          <w:rFonts w:ascii="Verdana" w:hAnsi="Verdana"/>
          <w:sz w:val="18"/>
          <w:szCs w:val="18"/>
        </w:rPr>
        <w:t xml:space="preserve"> endorsement. The </w:t>
      </w:r>
      <w:r>
        <w:rPr>
          <w:rFonts w:ascii="Verdana" w:hAnsi="Verdana"/>
          <w:sz w:val="18"/>
          <w:szCs w:val="18"/>
        </w:rPr>
        <w:t>lead</w:t>
      </w:r>
      <w:r w:rsidRPr="002053F2">
        <w:rPr>
          <w:rFonts w:ascii="Verdana" w:hAnsi="Verdana"/>
          <w:sz w:val="18"/>
          <w:szCs w:val="18"/>
        </w:rPr>
        <w:t xml:space="preserve"> bibliogra</w:t>
      </w:r>
      <w:r>
        <w:rPr>
          <w:rFonts w:ascii="Verdana" w:hAnsi="Verdana"/>
          <w:sz w:val="18"/>
          <w:szCs w:val="18"/>
        </w:rPr>
        <w:t>pher</w:t>
      </w:r>
      <w:r w:rsidRPr="002053F2">
        <w:rPr>
          <w:rFonts w:ascii="Verdana" w:hAnsi="Verdana"/>
          <w:sz w:val="18"/>
          <w:szCs w:val="18"/>
        </w:rPr>
        <w:t xml:space="preserve"> will forward this completed form to </w:t>
      </w:r>
      <w:r>
        <w:rPr>
          <w:rFonts w:ascii="Verdana" w:hAnsi="Verdana"/>
          <w:sz w:val="18"/>
          <w:szCs w:val="18"/>
        </w:rPr>
        <w:t>the Shared Monograph Coordinating Group via CDL Shared Print.</w:t>
      </w:r>
    </w:p>
    <w:p w:rsidR="002053F2" w:rsidRDefault="002053F2" w:rsidP="00525641">
      <w:pPr>
        <w:rPr>
          <w:rFonts w:ascii="Verdana" w:hAnsi="Verdana"/>
          <w:b/>
          <w:color w:val="FF0000"/>
          <w:sz w:val="20"/>
          <w:szCs w:val="20"/>
        </w:rPr>
      </w:pPr>
    </w:p>
    <w:p w:rsidR="002053F2" w:rsidRDefault="002053F2" w:rsidP="002053F2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Bibliographer Group approval received</w:t>
      </w:r>
    </w:p>
    <w:p w:rsidR="002053F2" w:rsidRPr="00DB4FC1" w:rsidRDefault="002053F2" w:rsidP="002053F2">
      <w:pPr>
        <w:ind w:left="900"/>
        <w:rPr>
          <w:rFonts w:ascii="Verdana" w:hAnsi="Verdana"/>
          <w:sz w:val="20"/>
          <w:szCs w:val="20"/>
        </w:rPr>
      </w:pPr>
    </w:p>
    <w:p w:rsidR="002053F2" w:rsidRDefault="002053F2" w:rsidP="002053F2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Managing Campus Collection Development Officer endorsements received</w:t>
      </w:r>
    </w:p>
    <w:p w:rsidR="002053F2" w:rsidRPr="002053F2" w:rsidRDefault="002053F2" w:rsidP="00525641">
      <w:pPr>
        <w:rPr>
          <w:rFonts w:ascii="Verdana" w:hAnsi="Verdana"/>
          <w:color w:val="FF0000"/>
          <w:sz w:val="20"/>
          <w:szCs w:val="20"/>
        </w:rPr>
      </w:pPr>
    </w:p>
    <w:tbl>
      <w:tblPr>
        <w:tblpPr w:leftFromText="180" w:rightFromText="180" w:vertAnchor="text" w:horzAnchor="page" w:tblpX="1891" w:tblpY="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8"/>
      </w:tblGrid>
      <w:tr w:rsidR="002053F2" w:rsidRPr="002053F2" w:rsidTr="002053F2">
        <w:tc>
          <w:tcPr>
            <w:tcW w:w="1278" w:type="dxa"/>
            <w:shd w:val="clear" w:color="auto" w:fill="auto"/>
          </w:tcPr>
          <w:p w:rsidR="002053F2" w:rsidRPr="002053F2" w:rsidRDefault="002053F2" w:rsidP="002053F2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</w:tbl>
    <w:p w:rsidR="000971E3" w:rsidRPr="002053F2" w:rsidRDefault="002053F2" w:rsidP="00525641">
      <w:pPr>
        <w:rPr>
          <w:rFonts w:ascii="Verdana" w:hAnsi="Verdana"/>
          <w:sz w:val="20"/>
          <w:szCs w:val="20"/>
        </w:rPr>
      </w:pPr>
      <w:r w:rsidRPr="002053F2">
        <w:rPr>
          <w:rFonts w:ascii="Verdana" w:hAnsi="Verdana"/>
          <w:sz w:val="20"/>
          <w:szCs w:val="20"/>
        </w:rPr>
        <w:t>Initiative Start Date (CDC Endorsement received)</w:t>
      </w:r>
    </w:p>
    <w:p w:rsidR="002053F2" w:rsidRDefault="002053F2" w:rsidP="00525641">
      <w:pPr>
        <w:rPr>
          <w:rFonts w:ascii="Verdana" w:hAnsi="Verdana"/>
          <w:b/>
          <w:sz w:val="20"/>
          <w:szCs w:val="20"/>
        </w:rPr>
      </w:pPr>
    </w:p>
    <w:p w:rsidR="000D5E10" w:rsidRPr="0062078E" w:rsidRDefault="000D5E10" w:rsidP="000D5E10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Contacts</w:t>
      </w:r>
    </w:p>
    <w:p w:rsidR="000D5E10" w:rsidRDefault="000D5E10" w:rsidP="000D5E10">
      <w:pPr>
        <w:numPr>
          <w:ilvl w:val="1"/>
          <w:numId w:val="2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Lead Bibliographer:  </w:t>
      </w:r>
    </w:p>
    <w:p w:rsidR="000D5E10" w:rsidRDefault="000D5E10" w:rsidP="000D5E10">
      <w:pPr>
        <w:ind w:left="720"/>
        <w:rPr>
          <w:rFonts w:ascii="Verdana" w:hAnsi="Verdana"/>
          <w:sz w:val="20"/>
          <w:szCs w:val="20"/>
        </w:rPr>
      </w:pPr>
    </w:p>
    <w:tbl>
      <w:tblPr>
        <w:tblW w:w="639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0"/>
      </w:tblGrid>
      <w:tr w:rsidR="000D5E10" w:rsidRPr="000D5E10" w:rsidTr="000D5E10">
        <w:tc>
          <w:tcPr>
            <w:tcW w:w="6390" w:type="dxa"/>
            <w:shd w:val="clear" w:color="auto" w:fill="FFFF00"/>
          </w:tcPr>
          <w:p w:rsidR="000D5E10" w:rsidRPr="000D5E10" w:rsidRDefault="000D5E10" w:rsidP="00FE444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5E10" w:rsidRDefault="000D5E10" w:rsidP="000D5E10">
      <w:pPr>
        <w:ind w:left="720"/>
        <w:rPr>
          <w:rFonts w:ascii="Verdana" w:hAnsi="Verdana"/>
          <w:sz w:val="20"/>
          <w:szCs w:val="20"/>
        </w:rPr>
      </w:pPr>
    </w:p>
    <w:p w:rsidR="000D5E10" w:rsidRDefault="000D5E10" w:rsidP="000D5E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D5E10" w:rsidRDefault="000D5E10" w:rsidP="000D5E10">
      <w:pPr>
        <w:numPr>
          <w:ilvl w:val="1"/>
          <w:numId w:val="2"/>
        </w:numPr>
        <w:tabs>
          <w:tab w:val="clear" w:pos="1440"/>
        </w:tabs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Managing campuses are the designated home for the print monographs. Managing campus(es): </w:t>
      </w:r>
    </w:p>
    <w:p w:rsidR="000D5E10" w:rsidRPr="00A30824" w:rsidRDefault="000D5E10" w:rsidP="000D5E10">
      <w:pPr>
        <w:ind w:left="720"/>
        <w:rPr>
          <w:rFonts w:ascii="Verdana" w:hAnsi="Verdana"/>
          <w:sz w:val="20"/>
          <w:szCs w:val="20"/>
        </w:rPr>
      </w:pPr>
    </w:p>
    <w:tbl>
      <w:tblPr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0"/>
      </w:tblGrid>
      <w:tr w:rsidR="000D5E10" w:rsidRPr="000D5E10" w:rsidTr="000D5E10">
        <w:tc>
          <w:tcPr>
            <w:tcW w:w="1200" w:type="dxa"/>
            <w:shd w:val="clear" w:color="auto" w:fill="FFFF00"/>
          </w:tcPr>
          <w:p w:rsidR="000D5E10" w:rsidRPr="000D5E10" w:rsidRDefault="000D5E10" w:rsidP="00FE44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E10" w:rsidRPr="000D5E10" w:rsidTr="000D5E10">
        <w:tc>
          <w:tcPr>
            <w:tcW w:w="1200" w:type="dxa"/>
            <w:shd w:val="clear" w:color="auto" w:fill="FFFF00"/>
          </w:tcPr>
          <w:p w:rsidR="000D5E10" w:rsidRPr="000D5E10" w:rsidRDefault="000D5E10" w:rsidP="00FE44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5E10" w:rsidRPr="000D5E10" w:rsidTr="000D5E10">
        <w:tc>
          <w:tcPr>
            <w:tcW w:w="1200" w:type="dxa"/>
            <w:shd w:val="clear" w:color="auto" w:fill="FFFF00"/>
          </w:tcPr>
          <w:p w:rsidR="000D5E10" w:rsidRPr="000D5E10" w:rsidRDefault="000D5E10" w:rsidP="00FE444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5E10" w:rsidRDefault="000D5E10" w:rsidP="00525641">
      <w:pPr>
        <w:rPr>
          <w:rFonts w:ascii="Verdana" w:hAnsi="Verdana"/>
          <w:b/>
          <w:sz w:val="20"/>
          <w:szCs w:val="20"/>
        </w:rPr>
      </w:pPr>
    </w:p>
    <w:p w:rsidR="00525641" w:rsidRDefault="00EB2122" w:rsidP="00525641">
      <w:pPr>
        <w:rPr>
          <w:rFonts w:ascii="Verdana" w:hAnsi="Verdana"/>
          <w:b/>
          <w:sz w:val="20"/>
          <w:szCs w:val="20"/>
        </w:rPr>
      </w:pPr>
      <w:r w:rsidRPr="003B492A">
        <w:rPr>
          <w:rFonts w:ascii="Verdana" w:hAnsi="Verdana"/>
          <w:b/>
          <w:sz w:val="20"/>
          <w:szCs w:val="20"/>
        </w:rPr>
        <w:t>Policies and Standards</w:t>
      </w:r>
      <w:r w:rsidR="00525641" w:rsidRPr="003B492A">
        <w:rPr>
          <w:rFonts w:ascii="Verdana" w:hAnsi="Verdana"/>
          <w:b/>
          <w:sz w:val="20"/>
          <w:szCs w:val="20"/>
        </w:rPr>
        <w:t>:</w:t>
      </w:r>
    </w:p>
    <w:p w:rsidR="00525641" w:rsidRDefault="00EB2122" w:rsidP="00525641">
      <w:pPr>
        <w:rPr>
          <w:rFonts w:ascii="Verdana" w:hAnsi="Verdana"/>
          <w:sz w:val="18"/>
          <w:szCs w:val="18"/>
        </w:rPr>
      </w:pPr>
      <w:r w:rsidRPr="00EB2122">
        <w:rPr>
          <w:rFonts w:ascii="Verdana" w:hAnsi="Verdana"/>
          <w:sz w:val="18"/>
          <w:szCs w:val="18"/>
        </w:rPr>
        <w:t>This shared print monograph collection shall be governed by shared print policies and standards</w:t>
      </w:r>
      <w:r w:rsidR="003B492A">
        <w:rPr>
          <w:rFonts w:ascii="Verdana" w:hAnsi="Verdana"/>
          <w:sz w:val="18"/>
          <w:szCs w:val="18"/>
        </w:rPr>
        <w:t xml:space="preserve"> posted on the CDL Shared Print website: </w:t>
      </w:r>
      <w:hyperlink r:id="rId7" w:history="1">
        <w:r w:rsidR="003B492A" w:rsidRPr="000C370F">
          <w:rPr>
            <w:rStyle w:val="Hyperlink"/>
            <w:rFonts w:ascii="Verdana" w:hAnsi="Verdana"/>
            <w:sz w:val="18"/>
            <w:szCs w:val="18"/>
          </w:rPr>
          <w:t>http://www.cdlib.org/services/collections/sharedprint/policies.html</w:t>
        </w:r>
      </w:hyperlink>
      <w:r w:rsidR="003B492A">
        <w:rPr>
          <w:rFonts w:ascii="Verdana" w:hAnsi="Verdana"/>
          <w:sz w:val="18"/>
          <w:szCs w:val="18"/>
        </w:rPr>
        <w:t xml:space="preserve"> </w:t>
      </w:r>
    </w:p>
    <w:p w:rsidR="00EB2122" w:rsidRPr="00EB2122" w:rsidRDefault="00EB2122" w:rsidP="00525641">
      <w:pPr>
        <w:rPr>
          <w:rFonts w:ascii="Verdana" w:hAnsi="Verdana"/>
          <w:sz w:val="18"/>
          <w:szCs w:val="18"/>
        </w:rPr>
      </w:pPr>
    </w:p>
    <w:p w:rsidR="00EB2122" w:rsidRDefault="00EB2122" w:rsidP="00EB2122">
      <w:pPr>
        <w:pStyle w:val="ListParagraph"/>
        <w:numPr>
          <w:ilvl w:val="0"/>
          <w:numId w:val="11"/>
        </w:numPr>
        <w:rPr>
          <w:rFonts w:ascii="Verdana" w:hAnsi="Verdana"/>
          <w:i/>
          <w:sz w:val="18"/>
          <w:szCs w:val="18"/>
        </w:rPr>
      </w:pPr>
      <w:r w:rsidRPr="00EB2122">
        <w:rPr>
          <w:rFonts w:ascii="Verdana" w:hAnsi="Verdana"/>
          <w:sz w:val="18"/>
          <w:szCs w:val="18"/>
          <w:u w:val="single"/>
        </w:rPr>
        <w:t>Retention</w:t>
      </w:r>
      <w:r>
        <w:rPr>
          <w:rFonts w:ascii="Verdana" w:hAnsi="Verdana"/>
          <w:i/>
          <w:sz w:val="18"/>
          <w:szCs w:val="18"/>
        </w:rPr>
        <w:t xml:space="preserve">. </w:t>
      </w:r>
      <w:r w:rsidRPr="00EB2122">
        <w:rPr>
          <w:rFonts w:ascii="Verdana" w:hAnsi="Verdana"/>
          <w:sz w:val="18"/>
          <w:szCs w:val="18"/>
        </w:rPr>
        <w:t xml:space="preserve">A single print copy of each monograph acquired under this program is designated and disclosed as shared print and governed </w:t>
      </w:r>
      <w:r w:rsidRPr="00EB2122">
        <w:rPr>
          <w:rFonts w:ascii="Verdana" w:hAnsi="Verdana"/>
          <w:sz w:val="20"/>
          <w:szCs w:val="20"/>
        </w:rPr>
        <w:t>by two policies which address retention, ownership, collection responsibilities and eligibility for storage in relation to other duplicate copies.</w:t>
      </w:r>
    </w:p>
    <w:p w:rsidR="00EB2122" w:rsidRDefault="00EB2122" w:rsidP="00EB2122">
      <w:pPr>
        <w:pStyle w:val="ListParagraph"/>
        <w:numPr>
          <w:ilvl w:val="1"/>
          <w:numId w:val="11"/>
        </w:num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Shared Print in Place Policy for </w:t>
      </w:r>
      <w:r w:rsidR="003B492A">
        <w:rPr>
          <w:rFonts w:ascii="Verdana" w:hAnsi="Verdana"/>
          <w:i/>
          <w:sz w:val="18"/>
          <w:szCs w:val="18"/>
        </w:rPr>
        <w:t>Prospective Collections</w:t>
      </w:r>
      <w:r w:rsidR="00380072">
        <w:rPr>
          <w:rFonts w:ascii="Verdana" w:hAnsi="Verdana"/>
          <w:i/>
          <w:sz w:val="18"/>
          <w:szCs w:val="18"/>
        </w:rPr>
        <w:t xml:space="preserve"> </w:t>
      </w:r>
      <w:r w:rsidRPr="00EB2122">
        <w:rPr>
          <w:rFonts w:ascii="Verdana" w:hAnsi="Verdana"/>
          <w:sz w:val="18"/>
          <w:szCs w:val="18"/>
        </w:rPr>
        <w:t>for items held at a library</w:t>
      </w:r>
      <w:r>
        <w:rPr>
          <w:rFonts w:ascii="Verdana" w:hAnsi="Verdana"/>
          <w:i/>
          <w:sz w:val="18"/>
          <w:szCs w:val="18"/>
        </w:rPr>
        <w:t>.</w:t>
      </w:r>
    </w:p>
    <w:p w:rsidR="00EB2122" w:rsidRPr="00EB2122" w:rsidRDefault="00EB2122" w:rsidP="00EB2122">
      <w:pPr>
        <w:numPr>
          <w:ilvl w:val="1"/>
          <w:numId w:val="11"/>
        </w:numPr>
        <w:rPr>
          <w:rFonts w:ascii="Verdana" w:hAnsi="Verdana"/>
          <w:i/>
          <w:sz w:val="20"/>
          <w:szCs w:val="20"/>
        </w:rPr>
      </w:pPr>
      <w:r w:rsidRPr="00734F84">
        <w:rPr>
          <w:rFonts w:ascii="Verdana" w:hAnsi="Verdana"/>
          <w:i/>
          <w:sz w:val="20"/>
          <w:szCs w:val="20"/>
        </w:rPr>
        <w:t xml:space="preserve">Persistent Deposits in UC Regional Library Facilities </w:t>
      </w:r>
      <w:r w:rsidR="00380072">
        <w:rPr>
          <w:rFonts w:ascii="Verdana" w:hAnsi="Verdana"/>
          <w:i/>
          <w:sz w:val="20"/>
          <w:szCs w:val="20"/>
        </w:rPr>
        <w:t xml:space="preserve">(need URL) </w:t>
      </w:r>
      <w:r w:rsidRPr="00734F84">
        <w:rPr>
          <w:rFonts w:ascii="Verdana" w:hAnsi="Verdana"/>
          <w:sz w:val="20"/>
          <w:szCs w:val="20"/>
        </w:rPr>
        <w:t>for items deposited in storage facilities.</w:t>
      </w:r>
    </w:p>
    <w:p w:rsidR="00EB2122" w:rsidRPr="00380072" w:rsidRDefault="00EB2122" w:rsidP="00380072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EB2122">
        <w:rPr>
          <w:rFonts w:ascii="Verdana" w:hAnsi="Verdana"/>
          <w:sz w:val="18"/>
          <w:szCs w:val="18"/>
          <w:u w:val="single"/>
        </w:rPr>
        <w:t>Access</w:t>
      </w:r>
      <w:r>
        <w:rPr>
          <w:rFonts w:ascii="Verdana" w:hAnsi="Verdana"/>
          <w:i/>
          <w:sz w:val="18"/>
          <w:szCs w:val="18"/>
        </w:rPr>
        <w:t xml:space="preserve">. </w:t>
      </w:r>
      <w:r w:rsidRPr="00734F84">
        <w:rPr>
          <w:rFonts w:ascii="Verdana" w:hAnsi="Verdana"/>
          <w:sz w:val="20"/>
          <w:szCs w:val="20"/>
        </w:rPr>
        <w:t xml:space="preserve">The monographs acquired under this program shall be made accessible according to the </w:t>
      </w:r>
      <w:r w:rsidRPr="00734F84">
        <w:rPr>
          <w:rFonts w:ascii="Verdana" w:hAnsi="Verdana"/>
          <w:i/>
          <w:sz w:val="20"/>
          <w:szCs w:val="20"/>
        </w:rPr>
        <w:t>Common Access Policy for Shared Print</w:t>
      </w:r>
      <w:r w:rsidR="003B492A">
        <w:rPr>
          <w:rFonts w:ascii="Verdana" w:hAnsi="Verdana"/>
          <w:i/>
          <w:sz w:val="20"/>
          <w:szCs w:val="20"/>
        </w:rPr>
        <w:t xml:space="preserve"> in Place Collections</w:t>
      </w:r>
      <w:r w:rsidRPr="00734F84">
        <w:rPr>
          <w:rFonts w:ascii="Verdana" w:hAnsi="Verdana"/>
          <w:sz w:val="20"/>
          <w:szCs w:val="20"/>
        </w:rPr>
        <w:t>.</w:t>
      </w:r>
    </w:p>
    <w:p w:rsidR="00EB2122" w:rsidRPr="00380072" w:rsidRDefault="00EB2122" w:rsidP="00380072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734F84">
        <w:rPr>
          <w:rFonts w:ascii="Verdana" w:hAnsi="Verdana"/>
          <w:sz w:val="20"/>
          <w:szCs w:val="20"/>
          <w:u w:val="single"/>
        </w:rPr>
        <w:t>Disclosure</w:t>
      </w:r>
      <w:r w:rsidRPr="00734F84">
        <w:rPr>
          <w:rFonts w:ascii="Verdana" w:hAnsi="Verdana"/>
          <w:sz w:val="20"/>
          <w:szCs w:val="20"/>
        </w:rPr>
        <w:t xml:space="preserve">. The participants agree to disclose shared print monographs in union catalogs according to the </w:t>
      </w:r>
      <w:r w:rsidRPr="00734F84">
        <w:rPr>
          <w:rFonts w:ascii="Verdana" w:hAnsi="Verdana"/>
          <w:i/>
          <w:sz w:val="20"/>
          <w:szCs w:val="20"/>
        </w:rPr>
        <w:t>Bibliographic Service Standards for Shared Print Monographs</w:t>
      </w:r>
      <w:r w:rsidRPr="00734F84">
        <w:rPr>
          <w:rFonts w:ascii="Verdana" w:hAnsi="Verdana"/>
          <w:sz w:val="20"/>
          <w:szCs w:val="20"/>
        </w:rPr>
        <w:t xml:space="preserve"> to facilitate access, discovery</w:t>
      </w:r>
      <w:r w:rsidR="00CD0AA3">
        <w:rPr>
          <w:rFonts w:ascii="Verdana" w:hAnsi="Verdana"/>
          <w:sz w:val="20"/>
          <w:szCs w:val="20"/>
        </w:rPr>
        <w:t>, resource sharing</w:t>
      </w:r>
      <w:r w:rsidRPr="00734F84">
        <w:rPr>
          <w:rFonts w:ascii="Verdana" w:hAnsi="Verdana"/>
          <w:sz w:val="20"/>
          <w:szCs w:val="20"/>
        </w:rPr>
        <w:t xml:space="preserve"> and collection management.</w:t>
      </w:r>
    </w:p>
    <w:p w:rsidR="00EB2122" w:rsidRPr="00CD0AA3" w:rsidRDefault="00EB2122" w:rsidP="00EB2122">
      <w:pPr>
        <w:pStyle w:val="ListParagraph"/>
        <w:numPr>
          <w:ilvl w:val="0"/>
          <w:numId w:val="11"/>
        </w:numPr>
        <w:rPr>
          <w:rFonts w:ascii="Verdana" w:hAnsi="Verdana"/>
          <w:i/>
          <w:sz w:val="18"/>
          <w:szCs w:val="18"/>
        </w:rPr>
      </w:pPr>
      <w:r w:rsidRPr="00734F84">
        <w:rPr>
          <w:rFonts w:ascii="Verdana" w:hAnsi="Verdana"/>
          <w:sz w:val="20"/>
          <w:szCs w:val="20"/>
          <w:u w:val="single"/>
        </w:rPr>
        <w:t>Financial Obligations and Reporting</w:t>
      </w:r>
      <w:r w:rsidRPr="00734F84">
        <w:rPr>
          <w:rFonts w:ascii="Verdana" w:hAnsi="Verdana"/>
          <w:sz w:val="20"/>
          <w:szCs w:val="20"/>
        </w:rPr>
        <w:t>. Each managing campus assumes all financial obligations and responsibilities for acquiring the monographs under this program.</w:t>
      </w:r>
      <w:r w:rsidR="00CD0AA3">
        <w:rPr>
          <w:rFonts w:ascii="Verdana" w:hAnsi="Verdana"/>
          <w:sz w:val="20"/>
          <w:szCs w:val="20"/>
        </w:rPr>
        <w:t xml:space="preserve"> M</w:t>
      </w:r>
      <w:r>
        <w:rPr>
          <w:rFonts w:ascii="Verdana" w:hAnsi="Verdana"/>
          <w:sz w:val="20"/>
          <w:szCs w:val="20"/>
        </w:rPr>
        <w:t xml:space="preserve">anaging campuses shall follow the </w:t>
      </w:r>
      <w:r w:rsidRPr="00EA5DCB">
        <w:rPr>
          <w:rFonts w:ascii="Verdana" w:hAnsi="Verdana"/>
          <w:i/>
          <w:sz w:val="20"/>
          <w:szCs w:val="20"/>
        </w:rPr>
        <w:t>Standard Acquisition Practices for Shared Print Monographs</w:t>
      </w:r>
      <w:r>
        <w:rPr>
          <w:rFonts w:ascii="Verdana" w:hAnsi="Verdana"/>
          <w:sz w:val="20"/>
          <w:szCs w:val="20"/>
        </w:rPr>
        <w:t xml:space="preserve">. </w:t>
      </w:r>
      <w:r w:rsidRPr="00734F84">
        <w:rPr>
          <w:rFonts w:ascii="Verdana" w:hAnsi="Verdana"/>
          <w:sz w:val="20"/>
          <w:szCs w:val="20"/>
        </w:rPr>
        <w:t xml:space="preserve">Managing campuses provide data and reports to the </w:t>
      </w:r>
      <w:r w:rsidR="00CD0AA3">
        <w:rPr>
          <w:rFonts w:ascii="Verdana" w:hAnsi="Verdana"/>
          <w:sz w:val="20"/>
          <w:szCs w:val="20"/>
        </w:rPr>
        <w:t xml:space="preserve">Lead Bibliographer </w:t>
      </w:r>
      <w:r w:rsidRPr="00734F84">
        <w:rPr>
          <w:rFonts w:ascii="Verdana" w:hAnsi="Verdana"/>
          <w:sz w:val="20"/>
          <w:szCs w:val="20"/>
        </w:rPr>
        <w:t xml:space="preserve">to facilitate </w:t>
      </w:r>
      <w:r w:rsidRPr="00734F84">
        <w:rPr>
          <w:rFonts w:ascii="Verdana" w:hAnsi="Verdana"/>
          <w:sz w:val="20"/>
          <w:szCs w:val="20"/>
        </w:rPr>
        <w:lastRenderedPageBreak/>
        <w:t>collection analysis and assessment</w:t>
      </w:r>
      <w:r>
        <w:rPr>
          <w:rFonts w:ascii="Verdana" w:hAnsi="Verdana"/>
          <w:sz w:val="20"/>
          <w:szCs w:val="20"/>
        </w:rPr>
        <w:t xml:space="preserve"> and for annual reporting to ARL/UCOP as well as CDC and CDL Shared Print.</w:t>
      </w:r>
    </w:p>
    <w:p w:rsidR="00CD0AA3" w:rsidRPr="00CD0AA3" w:rsidRDefault="00C04E1C" w:rsidP="00CD0AA3">
      <w:pPr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C04E1C">
        <w:rPr>
          <w:rFonts w:ascii="Verdana" w:hAnsi="Verdana"/>
          <w:sz w:val="20"/>
          <w:szCs w:val="20"/>
          <w:u w:val="single"/>
        </w:rPr>
        <w:t>Assessment</w:t>
      </w:r>
      <w:r>
        <w:rPr>
          <w:rFonts w:ascii="Verdana" w:hAnsi="Verdana"/>
          <w:sz w:val="20"/>
          <w:szCs w:val="20"/>
        </w:rPr>
        <w:t xml:space="preserve">. </w:t>
      </w:r>
      <w:r w:rsidR="00CD0AA3" w:rsidRPr="00734F84">
        <w:rPr>
          <w:rFonts w:ascii="Verdana" w:hAnsi="Verdana"/>
          <w:sz w:val="20"/>
          <w:szCs w:val="20"/>
        </w:rPr>
        <w:t xml:space="preserve">The </w:t>
      </w:r>
      <w:r w:rsidR="00CD0AA3">
        <w:rPr>
          <w:rFonts w:ascii="Verdana" w:hAnsi="Verdana"/>
          <w:sz w:val="20"/>
          <w:szCs w:val="20"/>
        </w:rPr>
        <w:t xml:space="preserve">initiative and </w:t>
      </w:r>
      <w:r w:rsidR="00CD0AA3" w:rsidRPr="00734F84">
        <w:rPr>
          <w:rFonts w:ascii="Verdana" w:hAnsi="Verdana"/>
          <w:sz w:val="20"/>
          <w:szCs w:val="20"/>
        </w:rPr>
        <w:t xml:space="preserve">collection </w:t>
      </w:r>
      <w:r w:rsidR="00CD0AA3">
        <w:rPr>
          <w:rFonts w:ascii="Verdana" w:hAnsi="Verdana"/>
          <w:sz w:val="20"/>
          <w:szCs w:val="20"/>
        </w:rPr>
        <w:t xml:space="preserve">will </w:t>
      </w:r>
      <w:r w:rsidR="00CD0AA3" w:rsidRPr="00734F84">
        <w:rPr>
          <w:rFonts w:ascii="Verdana" w:hAnsi="Verdana"/>
          <w:sz w:val="20"/>
          <w:szCs w:val="20"/>
        </w:rPr>
        <w:t xml:space="preserve">be assessed </w:t>
      </w:r>
      <w:r w:rsidR="00CD0AA3" w:rsidRPr="00B60A92">
        <w:rPr>
          <w:rFonts w:ascii="Verdana" w:hAnsi="Verdana"/>
          <w:sz w:val="20"/>
          <w:szCs w:val="20"/>
        </w:rPr>
        <w:t xml:space="preserve">annually </w:t>
      </w:r>
      <w:r w:rsidR="00CD0AA3" w:rsidRPr="00734F84">
        <w:rPr>
          <w:rFonts w:ascii="Verdana" w:hAnsi="Verdana"/>
          <w:sz w:val="20"/>
          <w:szCs w:val="20"/>
        </w:rPr>
        <w:t xml:space="preserve">for achievement toward </w:t>
      </w:r>
      <w:r w:rsidR="00CD0AA3">
        <w:rPr>
          <w:rFonts w:ascii="Verdana" w:hAnsi="Verdana"/>
          <w:sz w:val="20"/>
          <w:szCs w:val="20"/>
        </w:rPr>
        <w:t>the</w:t>
      </w:r>
      <w:r w:rsidR="00CD0AA3" w:rsidRPr="00734F84">
        <w:rPr>
          <w:rFonts w:ascii="Verdana" w:hAnsi="Verdana"/>
          <w:sz w:val="20"/>
          <w:szCs w:val="20"/>
        </w:rPr>
        <w:t xml:space="preserve"> goals.  </w:t>
      </w:r>
      <w:r w:rsidR="00CD0AA3">
        <w:rPr>
          <w:rFonts w:ascii="Verdana" w:hAnsi="Verdana"/>
          <w:sz w:val="20"/>
          <w:szCs w:val="20"/>
        </w:rPr>
        <w:t>Lead bibliographers and participating campuses will receive questionnaires annually to collect qualitative and quantitative information about the initiative.</w:t>
      </w:r>
    </w:p>
    <w:p w:rsidR="00EB2122" w:rsidRDefault="00EB2122" w:rsidP="00525641">
      <w:pPr>
        <w:rPr>
          <w:rFonts w:ascii="Verdana" w:hAnsi="Verdana"/>
          <w:b/>
          <w:sz w:val="20"/>
          <w:szCs w:val="20"/>
        </w:rPr>
      </w:pPr>
    </w:p>
    <w:p w:rsidR="00EB2122" w:rsidRDefault="00EB2122" w:rsidP="00525641">
      <w:pPr>
        <w:rPr>
          <w:rFonts w:ascii="Verdana" w:hAnsi="Verdana"/>
          <w:b/>
          <w:sz w:val="20"/>
          <w:szCs w:val="20"/>
        </w:rPr>
      </w:pPr>
    </w:p>
    <w:p w:rsidR="00525641" w:rsidRDefault="00525641" w:rsidP="00525641">
      <w:pPr>
        <w:rPr>
          <w:rFonts w:ascii="Verdana" w:hAnsi="Verdana"/>
          <w:b/>
          <w:sz w:val="20"/>
          <w:szCs w:val="20"/>
        </w:rPr>
      </w:pPr>
      <w:r w:rsidRPr="009E4E48">
        <w:rPr>
          <w:rFonts w:ascii="Verdana" w:hAnsi="Verdana"/>
          <w:b/>
          <w:sz w:val="20"/>
          <w:szCs w:val="20"/>
        </w:rPr>
        <w:t>Term, Termination and Membership:</w:t>
      </w:r>
    </w:p>
    <w:p w:rsidR="00525641" w:rsidRPr="00613D51" w:rsidRDefault="00525641" w:rsidP="00525641">
      <w:pPr>
        <w:rPr>
          <w:rFonts w:ascii="Verdana" w:hAnsi="Verdana"/>
          <w:i/>
          <w:sz w:val="18"/>
          <w:szCs w:val="18"/>
        </w:rPr>
      </w:pPr>
      <w:r w:rsidRPr="00613D51">
        <w:rPr>
          <w:rFonts w:ascii="Verdana" w:hAnsi="Verdana"/>
          <w:i/>
          <w:sz w:val="18"/>
          <w:szCs w:val="18"/>
        </w:rPr>
        <w:t>(What follows is the standard wording for this section. If you</w:t>
      </w:r>
      <w:r>
        <w:rPr>
          <w:rFonts w:ascii="Verdana" w:hAnsi="Verdana"/>
          <w:i/>
          <w:sz w:val="18"/>
          <w:szCs w:val="18"/>
        </w:rPr>
        <w:t>r</w:t>
      </w:r>
      <w:r w:rsidRPr="00613D51">
        <w:rPr>
          <w:rFonts w:ascii="Verdana" w:hAnsi="Verdana"/>
          <w:i/>
          <w:sz w:val="18"/>
          <w:szCs w:val="18"/>
        </w:rPr>
        <w:t xml:space="preserve"> initiative </w:t>
      </w:r>
      <w:r>
        <w:rPr>
          <w:rFonts w:ascii="Verdana" w:hAnsi="Verdana"/>
          <w:i/>
          <w:sz w:val="18"/>
          <w:szCs w:val="18"/>
        </w:rPr>
        <w:t xml:space="preserve">does not conform to the following statement, provide </w:t>
      </w:r>
      <w:r w:rsidR="00EB2122">
        <w:rPr>
          <w:rFonts w:ascii="Verdana" w:hAnsi="Verdana"/>
          <w:i/>
          <w:sz w:val="18"/>
          <w:szCs w:val="18"/>
        </w:rPr>
        <w:t>revised wording</w:t>
      </w:r>
      <w:r>
        <w:rPr>
          <w:rFonts w:ascii="Verdana" w:hAnsi="Verdana"/>
          <w:i/>
          <w:sz w:val="18"/>
          <w:szCs w:val="18"/>
        </w:rPr>
        <w:t>)</w:t>
      </w:r>
    </w:p>
    <w:p w:rsidR="00525641" w:rsidRPr="009E4E48" w:rsidRDefault="00525641" w:rsidP="00525641">
      <w:pPr>
        <w:rPr>
          <w:rFonts w:ascii="Verdana" w:hAnsi="Verdana"/>
          <w:i/>
          <w:sz w:val="20"/>
          <w:szCs w:val="20"/>
        </w:rPr>
      </w:pPr>
    </w:p>
    <w:p w:rsidR="00525641" w:rsidRPr="00734F84" w:rsidRDefault="00525641" w:rsidP="00525641">
      <w:pPr>
        <w:rPr>
          <w:rFonts w:ascii="Verdana" w:hAnsi="Verdana"/>
          <w:sz w:val="20"/>
          <w:szCs w:val="20"/>
        </w:rPr>
      </w:pPr>
      <w:r w:rsidRPr="00734F84">
        <w:rPr>
          <w:rFonts w:ascii="Verdana" w:hAnsi="Verdana"/>
          <w:sz w:val="20"/>
          <w:szCs w:val="20"/>
        </w:rPr>
        <w:t xml:space="preserve">This shared monographs </w:t>
      </w:r>
      <w:r>
        <w:rPr>
          <w:rFonts w:ascii="Verdana" w:hAnsi="Verdana"/>
          <w:sz w:val="20"/>
          <w:szCs w:val="20"/>
        </w:rPr>
        <w:t>initiative</w:t>
      </w:r>
      <w:r w:rsidRPr="00734F84">
        <w:rPr>
          <w:rFonts w:ascii="Verdana" w:hAnsi="Verdana"/>
          <w:sz w:val="20"/>
          <w:szCs w:val="20"/>
        </w:rPr>
        <w:t xml:space="preserve"> is for three years</w:t>
      </w:r>
      <w:r>
        <w:rPr>
          <w:rFonts w:ascii="Verdana" w:hAnsi="Verdana"/>
          <w:sz w:val="20"/>
          <w:szCs w:val="20"/>
        </w:rPr>
        <w:t>.</w:t>
      </w:r>
      <w:r w:rsidRPr="00734F84">
        <w:rPr>
          <w:rFonts w:ascii="Verdana" w:hAnsi="Verdana"/>
          <w:sz w:val="20"/>
          <w:szCs w:val="20"/>
        </w:rPr>
        <w:t xml:space="preserve"> One or all participants can discontinue participation with 12 months advance notice to the </w:t>
      </w:r>
      <w:r>
        <w:rPr>
          <w:rFonts w:ascii="Verdana" w:hAnsi="Verdana"/>
          <w:sz w:val="20"/>
          <w:szCs w:val="20"/>
        </w:rPr>
        <w:t>Shared Monograph Coordinating Group</w:t>
      </w:r>
      <w:r w:rsidRPr="00734F84">
        <w:rPr>
          <w:rFonts w:ascii="Verdana" w:hAnsi="Verdana"/>
          <w:sz w:val="20"/>
          <w:szCs w:val="20"/>
        </w:rPr>
        <w:t xml:space="preserve">. New participants can be added at any time. The </w:t>
      </w:r>
      <w:r>
        <w:rPr>
          <w:rFonts w:ascii="Verdana" w:hAnsi="Verdana"/>
          <w:sz w:val="20"/>
          <w:szCs w:val="20"/>
        </w:rPr>
        <w:t>initiative</w:t>
      </w:r>
      <w:r w:rsidRPr="00734F84">
        <w:rPr>
          <w:rFonts w:ascii="Verdana" w:hAnsi="Verdana"/>
          <w:sz w:val="20"/>
          <w:szCs w:val="20"/>
        </w:rPr>
        <w:t xml:space="preserve"> statement shall be updated when a </w:t>
      </w:r>
      <w:r w:rsidR="00CD0AA3">
        <w:rPr>
          <w:rFonts w:ascii="Verdana" w:hAnsi="Verdana"/>
          <w:sz w:val="20"/>
          <w:szCs w:val="20"/>
        </w:rPr>
        <w:t xml:space="preserve">participant joins or leaves, when </w:t>
      </w:r>
      <w:r w:rsidRPr="00734F84">
        <w:rPr>
          <w:rFonts w:ascii="Verdana" w:hAnsi="Verdana"/>
          <w:sz w:val="20"/>
          <w:szCs w:val="20"/>
        </w:rPr>
        <w:t>the collection definition changes</w:t>
      </w:r>
      <w:r w:rsidR="00CD0AA3">
        <w:rPr>
          <w:rFonts w:ascii="Verdana" w:hAnsi="Verdana"/>
          <w:sz w:val="20"/>
          <w:szCs w:val="20"/>
        </w:rPr>
        <w:t xml:space="preserve"> or when substant</w:t>
      </w:r>
      <w:r w:rsidR="000D5E10">
        <w:rPr>
          <w:rFonts w:ascii="Verdana" w:hAnsi="Verdana"/>
          <w:sz w:val="20"/>
          <w:szCs w:val="20"/>
        </w:rPr>
        <w:t>ial changes are made to estimated costs or budget commitments</w:t>
      </w:r>
      <w:r w:rsidRPr="00734F84">
        <w:rPr>
          <w:rFonts w:ascii="Verdana" w:hAnsi="Verdana"/>
          <w:sz w:val="20"/>
          <w:szCs w:val="20"/>
        </w:rPr>
        <w:t>.</w:t>
      </w:r>
    </w:p>
    <w:p w:rsidR="00525641" w:rsidRPr="00734F84" w:rsidRDefault="00525641" w:rsidP="00525641">
      <w:pPr>
        <w:rPr>
          <w:rFonts w:ascii="Verdana" w:hAnsi="Verdana"/>
          <w:b/>
          <w:sz w:val="20"/>
          <w:szCs w:val="20"/>
        </w:rPr>
      </w:pPr>
    </w:p>
    <w:p w:rsidR="00525641" w:rsidRDefault="005F36BF" w:rsidP="003B492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</w:t>
      </w:r>
      <w:r w:rsidR="00525641">
        <w:rPr>
          <w:rFonts w:ascii="Verdana" w:hAnsi="Verdana"/>
          <w:b/>
          <w:sz w:val="20"/>
          <w:szCs w:val="20"/>
        </w:rPr>
        <w:t xml:space="preserve">rogram </w:t>
      </w:r>
      <w:r w:rsidR="00525641" w:rsidRPr="00734F84">
        <w:rPr>
          <w:rFonts w:ascii="Verdana" w:hAnsi="Verdana"/>
          <w:b/>
          <w:sz w:val="20"/>
          <w:szCs w:val="20"/>
        </w:rPr>
        <w:t xml:space="preserve">Goals: </w:t>
      </w:r>
    </w:p>
    <w:p w:rsidR="00525641" w:rsidRPr="009E4E48" w:rsidRDefault="00525641" w:rsidP="003B492A">
      <w:pPr>
        <w:rPr>
          <w:rFonts w:ascii="Verdana" w:hAnsi="Verdana"/>
          <w:sz w:val="20"/>
          <w:szCs w:val="20"/>
        </w:rPr>
      </w:pPr>
      <w:r w:rsidRPr="009E4E48">
        <w:rPr>
          <w:rFonts w:ascii="Verdana" w:hAnsi="Verdana"/>
          <w:sz w:val="20"/>
          <w:szCs w:val="20"/>
        </w:rPr>
        <w:t xml:space="preserve">Please </w:t>
      </w:r>
      <w:r w:rsidR="00EB2122">
        <w:rPr>
          <w:rFonts w:ascii="Verdana" w:hAnsi="Verdana"/>
          <w:sz w:val="20"/>
          <w:szCs w:val="20"/>
        </w:rPr>
        <w:t xml:space="preserve">check all that apply. </w:t>
      </w:r>
    </w:p>
    <w:p w:rsidR="00525641" w:rsidRPr="0062078E" w:rsidRDefault="00525641" w:rsidP="003B492A">
      <w:pPr>
        <w:rPr>
          <w:rFonts w:ascii="Verdana" w:hAnsi="Verdana"/>
          <w:b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</w:t>
      </w:r>
      <w:r w:rsidRPr="00DB4FC1">
        <w:rPr>
          <w:rFonts w:ascii="Verdana" w:hAnsi="Verdana"/>
          <w:sz w:val="20"/>
          <w:szCs w:val="20"/>
        </w:rPr>
        <w:t>Strengthen uniqueness and depth of collection</w:t>
      </w:r>
    </w:p>
    <w:p w:rsidR="00525641" w:rsidRPr="00DB4FC1" w:rsidRDefault="00525641" w:rsidP="003B492A">
      <w:pPr>
        <w:ind w:left="900"/>
        <w:rPr>
          <w:rFonts w:ascii="Verdana" w:hAnsi="Verdana"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</w:t>
      </w:r>
      <w:r w:rsidRPr="00DB4FC1">
        <w:rPr>
          <w:rFonts w:ascii="Verdana" w:hAnsi="Verdana"/>
          <w:sz w:val="20"/>
          <w:szCs w:val="20"/>
        </w:rPr>
        <w:t>Minimize unintended duplication</w:t>
      </w:r>
    </w:p>
    <w:p w:rsidR="00525641" w:rsidRPr="00DB4FC1" w:rsidRDefault="00525641" w:rsidP="003B492A">
      <w:pPr>
        <w:rPr>
          <w:rFonts w:ascii="Verdana" w:hAnsi="Verdana"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</w:t>
      </w:r>
      <w:r w:rsidRPr="00DB4FC1">
        <w:rPr>
          <w:rFonts w:ascii="Verdana" w:hAnsi="Verdana"/>
          <w:sz w:val="20"/>
          <w:szCs w:val="20"/>
        </w:rPr>
        <w:t>Maximize bibliographer time and energy</w:t>
      </w:r>
    </w:p>
    <w:p w:rsidR="00525641" w:rsidRPr="00DB4FC1" w:rsidRDefault="00525641" w:rsidP="003B492A">
      <w:pPr>
        <w:ind w:left="720"/>
        <w:rPr>
          <w:rFonts w:ascii="Verdana" w:hAnsi="Verdana"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</w:t>
      </w:r>
      <w:r w:rsidRPr="00DB4FC1">
        <w:rPr>
          <w:rFonts w:ascii="Verdana" w:hAnsi="Verdana"/>
          <w:sz w:val="20"/>
          <w:szCs w:val="20"/>
        </w:rPr>
        <w:t>Reduce collection expenditures for campuses</w:t>
      </w:r>
    </w:p>
    <w:p w:rsidR="00525641" w:rsidRPr="00DB4FC1" w:rsidRDefault="00525641" w:rsidP="003B492A">
      <w:pPr>
        <w:ind w:left="720"/>
        <w:rPr>
          <w:rFonts w:ascii="Verdana" w:hAnsi="Verdana"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</w:t>
      </w:r>
      <w:r w:rsidRPr="00DB4FC1">
        <w:rPr>
          <w:rFonts w:ascii="Verdana" w:hAnsi="Verdana"/>
          <w:sz w:val="20"/>
          <w:szCs w:val="20"/>
        </w:rPr>
        <w:t>Manage the physical footprint of the collection</w:t>
      </w: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  <w:r w:rsidRPr="00F22420">
        <w:rPr>
          <w:rFonts w:ascii="Verdana" w:hAnsi="Verdana"/>
          <w:sz w:val="20"/>
          <w:szCs w:val="20"/>
          <w:highlight w:val="yellow"/>
        </w:rPr>
        <w:sym w:font="Symbol" w:char="F080"/>
      </w:r>
      <w:r>
        <w:rPr>
          <w:rFonts w:ascii="Verdana" w:hAnsi="Verdana"/>
          <w:sz w:val="20"/>
          <w:szCs w:val="20"/>
        </w:rPr>
        <w:t xml:space="preserve"> Other?  Please specify </w:t>
      </w:r>
      <w:r w:rsidRPr="00F22420">
        <w:rPr>
          <w:rFonts w:ascii="Verdana" w:hAnsi="Verdana"/>
          <w:sz w:val="20"/>
          <w:szCs w:val="20"/>
          <w:highlight w:val="yellow"/>
        </w:rPr>
        <w:t>___________</w:t>
      </w:r>
    </w:p>
    <w:p w:rsidR="00525641" w:rsidRDefault="00525641" w:rsidP="003B492A">
      <w:pPr>
        <w:ind w:left="720"/>
        <w:rPr>
          <w:rFonts w:ascii="Verdana" w:hAnsi="Verdana"/>
          <w:sz w:val="20"/>
          <w:szCs w:val="20"/>
        </w:rPr>
      </w:pPr>
    </w:p>
    <w:p w:rsidR="00525641" w:rsidRDefault="00525641" w:rsidP="00525641">
      <w:pPr>
        <w:rPr>
          <w:rFonts w:ascii="Verdana" w:hAnsi="Verdana"/>
          <w:sz w:val="20"/>
          <w:szCs w:val="20"/>
        </w:rPr>
      </w:pPr>
    </w:p>
    <w:p w:rsidR="00EB2122" w:rsidRPr="00EB2122" w:rsidRDefault="00EB2122" w:rsidP="003B492A">
      <w:pPr>
        <w:rPr>
          <w:b/>
        </w:rPr>
      </w:pPr>
      <w:r>
        <w:rPr>
          <w:b/>
        </w:rPr>
        <w:t xml:space="preserve">Shared </w:t>
      </w:r>
      <w:r w:rsidRPr="00EB2122">
        <w:rPr>
          <w:b/>
        </w:rPr>
        <w:t>Collection:</w:t>
      </w:r>
    </w:p>
    <w:p w:rsidR="00525641" w:rsidRDefault="00525641" w:rsidP="003B492A">
      <w:r>
        <w:t>Use the table(s) that is appropriate for the program. Delete others.</w:t>
      </w:r>
      <w:r w:rsidR="000D5E10">
        <w:t xml:space="preserve"> If you have questions about which table to use, please contact the Shared Monograph Coordinating Group Chair.</w:t>
      </w:r>
      <w:r w:rsidR="002053F2">
        <w:t xml:space="preserve"> In an introductory paragraph, very briefly describe the collection that will be developed.</w:t>
      </w:r>
    </w:p>
    <w:p w:rsidR="00525641" w:rsidRDefault="00525641" w:rsidP="003B492A"/>
    <w:p w:rsidR="00525641" w:rsidRDefault="00525641" w:rsidP="003B492A">
      <w:r w:rsidRPr="00B463C5">
        <w:rPr>
          <w:b/>
        </w:rPr>
        <w:t>Table 1:</w:t>
      </w:r>
      <w:r>
        <w:t xml:space="preserve"> </w:t>
      </w:r>
      <w:r w:rsidRPr="00B463C5">
        <w:rPr>
          <w:b/>
        </w:rPr>
        <w:t>Series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"/>
        <w:gridCol w:w="2530"/>
        <w:gridCol w:w="1643"/>
        <w:gridCol w:w="1165"/>
        <w:gridCol w:w="1672"/>
        <w:gridCol w:w="2093"/>
      </w:tblGrid>
      <w:tr w:rsidR="00525641" w:rsidTr="0060102E">
        <w:trPr>
          <w:tblHeader/>
        </w:trPr>
        <w:tc>
          <w:tcPr>
            <w:tcW w:w="473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#</w:t>
            </w:r>
          </w:p>
        </w:tc>
        <w:tc>
          <w:tcPr>
            <w:tcW w:w="2530" w:type="dxa"/>
          </w:tcPr>
          <w:p w:rsidR="00525641" w:rsidRPr="00994916" w:rsidRDefault="00525641" w:rsidP="003B492A">
            <w:pPr>
              <w:rPr>
                <w:b/>
              </w:rPr>
            </w:pPr>
            <w:r>
              <w:rPr>
                <w:b/>
              </w:rPr>
              <w:t xml:space="preserve">Monographic </w:t>
            </w:r>
            <w:r w:rsidRPr="00994916">
              <w:rPr>
                <w:b/>
              </w:rPr>
              <w:t>Series Title</w:t>
            </w:r>
          </w:p>
        </w:tc>
        <w:tc>
          <w:tcPr>
            <w:tcW w:w="1643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Publisher</w:t>
            </w:r>
          </w:p>
        </w:tc>
        <w:tc>
          <w:tcPr>
            <w:tcW w:w="1165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Identifier</w:t>
            </w:r>
          </w:p>
        </w:tc>
        <w:tc>
          <w:tcPr>
            <w:tcW w:w="1672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Managing Campus</w:t>
            </w:r>
          </w:p>
        </w:tc>
        <w:tc>
          <w:tcPr>
            <w:tcW w:w="2093" w:type="dxa"/>
          </w:tcPr>
          <w:p w:rsidR="00525641" w:rsidRPr="00525641" w:rsidRDefault="00525641" w:rsidP="003B492A">
            <w:pPr>
              <w:rPr>
                <w:b/>
                <w:highlight w:val="yellow"/>
              </w:rPr>
            </w:pPr>
            <w:r w:rsidRPr="00B60A92">
              <w:rPr>
                <w:b/>
              </w:rPr>
              <w:t>Estimated Standing Order Cost (Single Print Copy) if known</w:t>
            </w:r>
          </w:p>
        </w:tc>
      </w:tr>
      <w:tr w:rsidR="00525641" w:rsidTr="00F22420">
        <w:tc>
          <w:tcPr>
            <w:tcW w:w="473" w:type="dxa"/>
            <w:shd w:val="clear" w:color="auto" w:fill="FFFF00"/>
          </w:tcPr>
          <w:p w:rsidR="00525641" w:rsidRDefault="00525641" w:rsidP="003B492A"/>
        </w:tc>
        <w:tc>
          <w:tcPr>
            <w:tcW w:w="2530" w:type="dxa"/>
            <w:shd w:val="clear" w:color="auto" w:fill="FFFF00"/>
          </w:tcPr>
          <w:p w:rsidR="00525641" w:rsidRDefault="00525641" w:rsidP="003B492A"/>
        </w:tc>
        <w:tc>
          <w:tcPr>
            <w:tcW w:w="1643" w:type="dxa"/>
            <w:shd w:val="clear" w:color="auto" w:fill="FFFF00"/>
          </w:tcPr>
          <w:p w:rsidR="00525641" w:rsidRDefault="00525641" w:rsidP="003B492A"/>
        </w:tc>
        <w:tc>
          <w:tcPr>
            <w:tcW w:w="1165" w:type="dxa"/>
            <w:shd w:val="clear" w:color="auto" w:fill="FFFF00"/>
          </w:tcPr>
          <w:p w:rsidR="00525641" w:rsidRDefault="00525641" w:rsidP="003B492A"/>
        </w:tc>
        <w:tc>
          <w:tcPr>
            <w:tcW w:w="1672" w:type="dxa"/>
            <w:shd w:val="clear" w:color="auto" w:fill="FFFF00"/>
          </w:tcPr>
          <w:p w:rsidR="00525641" w:rsidRDefault="00525641" w:rsidP="003B492A"/>
        </w:tc>
        <w:tc>
          <w:tcPr>
            <w:tcW w:w="2093" w:type="dxa"/>
            <w:shd w:val="clear" w:color="auto" w:fill="FFFF00"/>
          </w:tcPr>
          <w:p w:rsidR="00525641" w:rsidRPr="00525641" w:rsidRDefault="00525641" w:rsidP="003B492A">
            <w:pPr>
              <w:rPr>
                <w:highlight w:val="yellow"/>
              </w:rPr>
            </w:pPr>
          </w:p>
        </w:tc>
      </w:tr>
      <w:tr w:rsidR="00525641" w:rsidTr="00F22420">
        <w:tc>
          <w:tcPr>
            <w:tcW w:w="473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2530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Total</w:t>
            </w:r>
          </w:p>
        </w:tc>
        <w:tc>
          <w:tcPr>
            <w:tcW w:w="1643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165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672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2093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</w:tr>
    </w:tbl>
    <w:p w:rsidR="00525641" w:rsidRDefault="00525641" w:rsidP="003B492A"/>
    <w:p w:rsidR="00B60A92" w:rsidRDefault="00B60A92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60102E" w:rsidRDefault="0060102E" w:rsidP="003B492A">
      <w:pPr>
        <w:rPr>
          <w:b/>
        </w:rPr>
      </w:pPr>
    </w:p>
    <w:p w:rsidR="00525641" w:rsidRPr="00B463C5" w:rsidRDefault="00525641" w:rsidP="003B492A">
      <w:pPr>
        <w:rPr>
          <w:b/>
        </w:rPr>
      </w:pPr>
      <w:r w:rsidRPr="00B463C5">
        <w:rPr>
          <w:b/>
        </w:rPr>
        <w:lastRenderedPageBreak/>
        <w:t>Table 2: Publisher</w:t>
      </w:r>
      <w:r w:rsidR="009732C3">
        <w:rPr>
          <w:b/>
        </w:rPr>
        <w:t>/Vendor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2299"/>
        <w:gridCol w:w="1742"/>
        <w:gridCol w:w="1651"/>
        <w:gridCol w:w="1707"/>
        <w:gridCol w:w="1707"/>
      </w:tblGrid>
      <w:tr w:rsidR="00525641" w:rsidTr="0060102E">
        <w:trPr>
          <w:tblHeader/>
        </w:trPr>
        <w:tc>
          <w:tcPr>
            <w:tcW w:w="470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#</w:t>
            </w:r>
          </w:p>
        </w:tc>
        <w:tc>
          <w:tcPr>
            <w:tcW w:w="2299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Publisher</w:t>
            </w:r>
          </w:p>
        </w:tc>
        <w:tc>
          <w:tcPr>
            <w:tcW w:w="1742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Non-subject or other limiting parameters applied to this publisher</w:t>
            </w:r>
          </w:p>
        </w:tc>
        <w:tc>
          <w:tcPr>
            <w:tcW w:w="1651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Managing Campus</w:t>
            </w:r>
          </w:p>
        </w:tc>
        <w:tc>
          <w:tcPr>
            <w:tcW w:w="1707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Estimated Annual Publishing Output (# Unique Print Titles)</w:t>
            </w:r>
          </w:p>
        </w:tc>
        <w:tc>
          <w:tcPr>
            <w:tcW w:w="1707" w:type="dxa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Total List Price Annual Publishing output (Print Titles)</w:t>
            </w:r>
          </w:p>
        </w:tc>
      </w:tr>
      <w:tr w:rsidR="00525641" w:rsidTr="00F22420">
        <w:tc>
          <w:tcPr>
            <w:tcW w:w="470" w:type="dxa"/>
            <w:shd w:val="clear" w:color="auto" w:fill="FFFF00"/>
          </w:tcPr>
          <w:p w:rsidR="00525641" w:rsidRDefault="00525641" w:rsidP="003B492A"/>
        </w:tc>
        <w:tc>
          <w:tcPr>
            <w:tcW w:w="2299" w:type="dxa"/>
            <w:shd w:val="clear" w:color="auto" w:fill="FFFF00"/>
          </w:tcPr>
          <w:p w:rsidR="00525641" w:rsidRDefault="00525641" w:rsidP="003B492A"/>
        </w:tc>
        <w:tc>
          <w:tcPr>
            <w:tcW w:w="1742" w:type="dxa"/>
            <w:shd w:val="clear" w:color="auto" w:fill="FFFF00"/>
          </w:tcPr>
          <w:p w:rsidR="00525641" w:rsidRDefault="00525641" w:rsidP="003B492A"/>
        </w:tc>
        <w:tc>
          <w:tcPr>
            <w:tcW w:w="1651" w:type="dxa"/>
            <w:shd w:val="clear" w:color="auto" w:fill="FFFF00"/>
          </w:tcPr>
          <w:p w:rsidR="00525641" w:rsidRDefault="00525641" w:rsidP="003B492A"/>
        </w:tc>
        <w:tc>
          <w:tcPr>
            <w:tcW w:w="1707" w:type="dxa"/>
            <w:shd w:val="clear" w:color="auto" w:fill="FFFF00"/>
          </w:tcPr>
          <w:p w:rsidR="00525641" w:rsidRDefault="00525641" w:rsidP="003B492A"/>
        </w:tc>
        <w:tc>
          <w:tcPr>
            <w:tcW w:w="1707" w:type="dxa"/>
            <w:shd w:val="clear" w:color="auto" w:fill="FFFF00"/>
          </w:tcPr>
          <w:p w:rsidR="00525641" w:rsidRDefault="00525641" w:rsidP="003B492A"/>
        </w:tc>
      </w:tr>
      <w:tr w:rsidR="00525641" w:rsidTr="00F22420">
        <w:tc>
          <w:tcPr>
            <w:tcW w:w="470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2299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Total</w:t>
            </w:r>
          </w:p>
        </w:tc>
        <w:tc>
          <w:tcPr>
            <w:tcW w:w="1742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651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707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707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</w:tr>
    </w:tbl>
    <w:p w:rsidR="00525641" w:rsidRDefault="00525641" w:rsidP="003B492A"/>
    <w:p w:rsidR="00B60A92" w:rsidRDefault="00B60A92" w:rsidP="003B492A">
      <w:pPr>
        <w:rPr>
          <w:b/>
        </w:rPr>
      </w:pPr>
    </w:p>
    <w:p w:rsidR="00F22420" w:rsidRDefault="00F22420" w:rsidP="003B492A">
      <w:pPr>
        <w:rPr>
          <w:b/>
        </w:rPr>
      </w:pPr>
    </w:p>
    <w:p w:rsidR="00525641" w:rsidRPr="00B463C5" w:rsidRDefault="00525641" w:rsidP="003B492A">
      <w:pPr>
        <w:rPr>
          <w:b/>
        </w:rPr>
      </w:pPr>
      <w:r w:rsidRPr="00B463C5">
        <w:rPr>
          <w:b/>
        </w:rPr>
        <w:t>Table 3: Discipline</w:t>
      </w:r>
      <w:r w:rsidR="009732C3">
        <w:rPr>
          <w:b/>
        </w:rPr>
        <w:t xml:space="preserve"> or Geographic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"/>
        <w:gridCol w:w="3007"/>
        <w:gridCol w:w="1610"/>
        <w:gridCol w:w="1492"/>
        <w:gridCol w:w="1564"/>
        <w:gridCol w:w="1483"/>
      </w:tblGrid>
      <w:tr w:rsidR="00525641" w:rsidRPr="00DD0256" w:rsidTr="0060102E">
        <w:trPr>
          <w:tblHeader/>
        </w:trPr>
        <w:tc>
          <w:tcPr>
            <w:tcW w:w="420" w:type="dxa"/>
          </w:tcPr>
          <w:p w:rsidR="00525641" w:rsidRPr="00DD0256" w:rsidRDefault="00525641" w:rsidP="003B492A">
            <w:pPr>
              <w:rPr>
                <w:b/>
              </w:rPr>
            </w:pPr>
            <w:r w:rsidRPr="00DD0256">
              <w:rPr>
                <w:b/>
              </w:rPr>
              <w:t>#</w:t>
            </w:r>
          </w:p>
        </w:tc>
        <w:tc>
          <w:tcPr>
            <w:tcW w:w="3007" w:type="dxa"/>
          </w:tcPr>
          <w:p w:rsidR="00525641" w:rsidRPr="00DD0256" w:rsidRDefault="00525641" w:rsidP="003B492A">
            <w:pPr>
              <w:rPr>
                <w:b/>
              </w:rPr>
            </w:pPr>
            <w:r w:rsidRPr="00DD0256">
              <w:rPr>
                <w:b/>
              </w:rPr>
              <w:t>LC Classifications/Subjects</w:t>
            </w:r>
            <w:r w:rsidR="009732C3">
              <w:rPr>
                <w:b/>
              </w:rPr>
              <w:t xml:space="preserve"> or Geographic Area</w:t>
            </w:r>
          </w:p>
        </w:tc>
        <w:tc>
          <w:tcPr>
            <w:tcW w:w="1610" w:type="dxa"/>
          </w:tcPr>
          <w:p w:rsidR="00525641" w:rsidRPr="00DD0256" w:rsidRDefault="00525641" w:rsidP="003B492A">
            <w:pPr>
              <w:rPr>
                <w:b/>
              </w:rPr>
            </w:pPr>
            <w:r w:rsidRPr="00DD0256">
              <w:rPr>
                <w:b/>
              </w:rPr>
              <w:t>Limiting par</w:t>
            </w:r>
            <w:r w:rsidR="00EB2122">
              <w:rPr>
                <w:b/>
              </w:rPr>
              <w:t>ameters applied to this subject</w:t>
            </w:r>
            <w:r w:rsidRPr="00DD0256">
              <w:rPr>
                <w:b/>
              </w:rPr>
              <w:t>/LC class</w:t>
            </w:r>
            <w:r w:rsidR="009732C3">
              <w:rPr>
                <w:b/>
              </w:rPr>
              <w:t xml:space="preserve"> or geographic area</w:t>
            </w:r>
          </w:p>
        </w:tc>
        <w:tc>
          <w:tcPr>
            <w:tcW w:w="1492" w:type="dxa"/>
          </w:tcPr>
          <w:p w:rsidR="00525641" w:rsidRPr="00DD0256" w:rsidRDefault="00525641" w:rsidP="003B492A">
            <w:pPr>
              <w:rPr>
                <w:b/>
              </w:rPr>
            </w:pPr>
            <w:r w:rsidRPr="00DD0256">
              <w:rPr>
                <w:b/>
              </w:rPr>
              <w:t>Managing Campus</w:t>
            </w:r>
          </w:p>
        </w:tc>
        <w:tc>
          <w:tcPr>
            <w:tcW w:w="1564" w:type="dxa"/>
          </w:tcPr>
          <w:p w:rsidR="00525641" w:rsidRPr="00DD0256" w:rsidRDefault="00525641" w:rsidP="003B492A">
            <w:pPr>
              <w:rPr>
                <w:b/>
              </w:rPr>
            </w:pPr>
            <w:r w:rsidRPr="00DD0256">
              <w:rPr>
                <w:b/>
              </w:rPr>
              <w:t>Estimated Annual Publishing Output (# Unique Print Titles)</w:t>
            </w:r>
          </w:p>
        </w:tc>
        <w:tc>
          <w:tcPr>
            <w:tcW w:w="1483" w:type="dxa"/>
          </w:tcPr>
          <w:p w:rsidR="00525641" w:rsidRPr="00DD0256" w:rsidRDefault="000D5E10" w:rsidP="003B492A">
            <w:pPr>
              <w:rPr>
                <w:b/>
              </w:rPr>
            </w:pPr>
            <w:r>
              <w:rPr>
                <w:b/>
              </w:rPr>
              <w:t>Estimated Annual Amount</w:t>
            </w:r>
            <w:r w:rsidR="00525641" w:rsidRPr="00DD0256">
              <w:rPr>
                <w:b/>
              </w:rPr>
              <w:t xml:space="preserve"> (</w:t>
            </w:r>
            <w:r>
              <w:rPr>
                <w:b/>
              </w:rPr>
              <w:t xml:space="preserve">for </w:t>
            </w:r>
            <w:r w:rsidR="00525641" w:rsidRPr="00DD0256">
              <w:rPr>
                <w:b/>
              </w:rPr>
              <w:t>Print Titles)</w:t>
            </w:r>
          </w:p>
        </w:tc>
      </w:tr>
      <w:tr w:rsidR="00525641" w:rsidTr="00F22420">
        <w:tc>
          <w:tcPr>
            <w:tcW w:w="420" w:type="dxa"/>
            <w:shd w:val="clear" w:color="auto" w:fill="FFFF00"/>
          </w:tcPr>
          <w:p w:rsidR="00525641" w:rsidRDefault="00525641" w:rsidP="003B492A"/>
        </w:tc>
        <w:tc>
          <w:tcPr>
            <w:tcW w:w="3007" w:type="dxa"/>
            <w:shd w:val="clear" w:color="auto" w:fill="FFFF00"/>
          </w:tcPr>
          <w:p w:rsidR="00525641" w:rsidRDefault="00525641" w:rsidP="003B492A"/>
        </w:tc>
        <w:tc>
          <w:tcPr>
            <w:tcW w:w="1610" w:type="dxa"/>
            <w:shd w:val="clear" w:color="auto" w:fill="FFFF00"/>
          </w:tcPr>
          <w:p w:rsidR="00525641" w:rsidRDefault="00525641" w:rsidP="003B492A"/>
        </w:tc>
        <w:tc>
          <w:tcPr>
            <w:tcW w:w="1492" w:type="dxa"/>
            <w:shd w:val="clear" w:color="auto" w:fill="FFFF00"/>
          </w:tcPr>
          <w:p w:rsidR="00525641" w:rsidRDefault="00525641" w:rsidP="003B492A"/>
        </w:tc>
        <w:tc>
          <w:tcPr>
            <w:tcW w:w="1564" w:type="dxa"/>
            <w:shd w:val="clear" w:color="auto" w:fill="FFFF00"/>
          </w:tcPr>
          <w:p w:rsidR="00525641" w:rsidRDefault="00525641" w:rsidP="003B492A"/>
        </w:tc>
        <w:tc>
          <w:tcPr>
            <w:tcW w:w="1483" w:type="dxa"/>
            <w:shd w:val="clear" w:color="auto" w:fill="FFFF00"/>
          </w:tcPr>
          <w:p w:rsidR="00525641" w:rsidRDefault="00525641" w:rsidP="003B492A"/>
        </w:tc>
      </w:tr>
      <w:tr w:rsidR="00525641" w:rsidTr="00F22420">
        <w:tc>
          <w:tcPr>
            <w:tcW w:w="420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3007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  <w:r w:rsidRPr="00994916">
              <w:rPr>
                <w:b/>
              </w:rPr>
              <w:t>Total</w:t>
            </w:r>
          </w:p>
        </w:tc>
        <w:tc>
          <w:tcPr>
            <w:tcW w:w="1610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492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564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  <w:tc>
          <w:tcPr>
            <w:tcW w:w="1483" w:type="dxa"/>
            <w:shd w:val="clear" w:color="auto" w:fill="FFFF00"/>
          </w:tcPr>
          <w:p w:rsidR="00525641" w:rsidRPr="00994916" w:rsidRDefault="00525641" w:rsidP="003B492A">
            <w:pPr>
              <w:rPr>
                <w:b/>
              </w:rPr>
            </w:pPr>
          </w:p>
        </w:tc>
      </w:tr>
    </w:tbl>
    <w:p w:rsidR="00525641" w:rsidRDefault="00525641" w:rsidP="003B492A">
      <w:pPr>
        <w:rPr>
          <w:rFonts w:ascii="Verdana" w:hAnsi="Verdana"/>
          <w:b/>
          <w:sz w:val="20"/>
          <w:szCs w:val="20"/>
        </w:rPr>
      </w:pPr>
    </w:p>
    <w:sectPr w:rsidR="00525641" w:rsidSect="00F22420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3C3" w:rsidRDefault="00A743C3" w:rsidP="00EB2122">
      <w:r>
        <w:separator/>
      </w:r>
    </w:p>
  </w:endnote>
  <w:endnote w:type="continuationSeparator" w:id="0">
    <w:p w:rsidR="00A743C3" w:rsidRDefault="00A743C3" w:rsidP="00EB2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072" w:rsidRDefault="00EC3890">
    <w:pPr>
      <w:pStyle w:val="Footer"/>
      <w:jc w:val="center"/>
    </w:pPr>
    <w:fldSimple w:instr=" PAGE   \* MERGEFORMAT ">
      <w:r w:rsidR="00D464DB">
        <w:rPr>
          <w:noProof/>
        </w:rPr>
        <w:t>3</w:t>
      </w:r>
    </w:fldSimple>
  </w:p>
  <w:p w:rsidR="00380072" w:rsidRDefault="003800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3C3" w:rsidRDefault="00A743C3" w:rsidP="00EB2122">
      <w:r>
        <w:separator/>
      </w:r>
    </w:p>
  </w:footnote>
  <w:footnote w:type="continuationSeparator" w:id="0">
    <w:p w:rsidR="00A743C3" w:rsidRDefault="00A743C3" w:rsidP="00EB2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81C12"/>
    <w:multiLevelType w:val="hybridMultilevel"/>
    <w:tmpl w:val="47669A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54BDD"/>
    <w:multiLevelType w:val="hybridMultilevel"/>
    <w:tmpl w:val="60F40D16"/>
    <w:lvl w:ilvl="0" w:tplc="8C762BF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AEB1C0C"/>
    <w:multiLevelType w:val="hybridMultilevel"/>
    <w:tmpl w:val="80E2D0B0"/>
    <w:lvl w:ilvl="0" w:tplc="EF02D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570020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FF85AB8"/>
    <w:multiLevelType w:val="hybridMultilevel"/>
    <w:tmpl w:val="0A9693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702B1E"/>
    <w:multiLevelType w:val="hybridMultilevel"/>
    <w:tmpl w:val="BED45E16"/>
    <w:lvl w:ilvl="0" w:tplc="EF02D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54DA6BC8"/>
    <w:multiLevelType w:val="hybridMultilevel"/>
    <w:tmpl w:val="4A8096B2"/>
    <w:lvl w:ilvl="0" w:tplc="0409001B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59BC4703"/>
    <w:multiLevelType w:val="hybridMultilevel"/>
    <w:tmpl w:val="19541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166B2"/>
    <w:multiLevelType w:val="hybridMultilevel"/>
    <w:tmpl w:val="1858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68C"/>
    <w:multiLevelType w:val="hybridMultilevel"/>
    <w:tmpl w:val="6CB0329C"/>
    <w:lvl w:ilvl="0" w:tplc="EF02D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70020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E709DF"/>
    <w:multiLevelType w:val="hybridMultilevel"/>
    <w:tmpl w:val="A2D2F9A2"/>
    <w:lvl w:ilvl="0" w:tplc="1EC0F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D864FF3"/>
    <w:multiLevelType w:val="hybridMultilevel"/>
    <w:tmpl w:val="E260F6E0"/>
    <w:lvl w:ilvl="0" w:tplc="EF02D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0"/>
        </w:tabs>
        <w:ind w:left="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41"/>
    <w:rsid w:val="00004529"/>
    <w:rsid w:val="000971E3"/>
    <w:rsid w:val="000D5E10"/>
    <w:rsid w:val="0019504B"/>
    <w:rsid w:val="001D2810"/>
    <w:rsid w:val="001F2370"/>
    <w:rsid w:val="002053F2"/>
    <w:rsid w:val="00276D57"/>
    <w:rsid w:val="002D0FD6"/>
    <w:rsid w:val="002D4C5E"/>
    <w:rsid w:val="002E7F1D"/>
    <w:rsid w:val="00303871"/>
    <w:rsid w:val="00380072"/>
    <w:rsid w:val="003A4FCA"/>
    <w:rsid w:val="003B492A"/>
    <w:rsid w:val="00433A68"/>
    <w:rsid w:val="00456E35"/>
    <w:rsid w:val="004B6D7D"/>
    <w:rsid w:val="004C402F"/>
    <w:rsid w:val="005026D9"/>
    <w:rsid w:val="00525641"/>
    <w:rsid w:val="00597A39"/>
    <w:rsid w:val="005B6EEB"/>
    <w:rsid w:val="005C3A8C"/>
    <w:rsid w:val="005F36BF"/>
    <w:rsid w:val="0060102E"/>
    <w:rsid w:val="00607A29"/>
    <w:rsid w:val="006317AF"/>
    <w:rsid w:val="007516AC"/>
    <w:rsid w:val="007E06FE"/>
    <w:rsid w:val="00845675"/>
    <w:rsid w:val="008F1E93"/>
    <w:rsid w:val="009732C3"/>
    <w:rsid w:val="00A743C3"/>
    <w:rsid w:val="00A95922"/>
    <w:rsid w:val="00AB5382"/>
    <w:rsid w:val="00AD5CF3"/>
    <w:rsid w:val="00B03441"/>
    <w:rsid w:val="00B25EF7"/>
    <w:rsid w:val="00B30FE9"/>
    <w:rsid w:val="00B3463E"/>
    <w:rsid w:val="00B60A92"/>
    <w:rsid w:val="00BF1E53"/>
    <w:rsid w:val="00C04E1C"/>
    <w:rsid w:val="00C73792"/>
    <w:rsid w:val="00CD0AA3"/>
    <w:rsid w:val="00D464DB"/>
    <w:rsid w:val="00DC0688"/>
    <w:rsid w:val="00EB2122"/>
    <w:rsid w:val="00EC3890"/>
    <w:rsid w:val="00ED43A2"/>
    <w:rsid w:val="00EE5D74"/>
    <w:rsid w:val="00F10349"/>
    <w:rsid w:val="00F22420"/>
    <w:rsid w:val="00F332EC"/>
    <w:rsid w:val="00F72233"/>
    <w:rsid w:val="00FE4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41"/>
    <w:rPr>
      <w:rFonts w:ascii="Arial" w:eastAsia="Times New Roman" w:hAnsi="Arial" w:cs="Arial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52564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25641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B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2122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2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07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F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F7"/>
    <w:rPr>
      <w:b/>
      <w:bCs/>
    </w:rPr>
  </w:style>
  <w:style w:type="table" w:styleId="TableGrid">
    <w:name w:val="Table Grid"/>
    <w:basedOn w:val="TableNormal"/>
    <w:uiPriority w:val="59"/>
    <w:rsid w:val="003B49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B49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dlib.org/services/collections/sharedprint/polic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 Libraries</Company>
  <LinksUpToDate>false</LinksUpToDate>
  <CharactersWithSpaces>4551</CharactersWithSpaces>
  <SharedDoc>false</SharedDoc>
  <HLinks>
    <vt:vector size="6" baseType="variant">
      <vt:variant>
        <vt:i4>7340149</vt:i4>
      </vt:variant>
      <vt:variant>
        <vt:i4>0</vt:i4>
      </vt:variant>
      <vt:variant>
        <vt:i4>0</vt:i4>
      </vt:variant>
      <vt:variant>
        <vt:i4>5</vt:i4>
      </vt:variant>
      <vt:variant>
        <vt:lpwstr>http://www.cdlib.org/services/collections/sharedprint/policies.html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bschader</dc:creator>
  <cp:keywords/>
  <cp:lastModifiedBy>bmoss</cp:lastModifiedBy>
  <cp:revision>2</cp:revision>
  <cp:lastPrinted>2011-12-05T19:45:00Z</cp:lastPrinted>
  <dcterms:created xsi:type="dcterms:W3CDTF">2012-05-07T20:40:00Z</dcterms:created>
  <dcterms:modified xsi:type="dcterms:W3CDTF">2012-05-07T20:40:00Z</dcterms:modified>
  <cp:contentStatus/>
</cp:coreProperties>
</file>